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1D3A" w14:textId="77777777" w:rsidR="005D0112" w:rsidRDefault="00C2086C">
      <w:pPr>
        <w:tabs>
          <w:tab w:val="left" w:pos="1701"/>
        </w:tabs>
        <w:spacing w:before="120"/>
        <w:ind w:left="567" w:right="565"/>
        <w:jc w:val="both"/>
      </w:pPr>
      <w:r>
        <w:rPr>
          <w:noProof/>
          <w:lang w:eastAsia="it-IT"/>
        </w:rPr>
        <mc:AlternateContent>
          <mc:Choice Requires="wps">
            <w:drawing>
              <wp:anchor distT="0" distB="0" distL="0" distR="0" simplePos="0" relativeHeight="77" behindDoc="0" locked="0" layoutInCell="1" allowOverlap="1" wp14:anchorId="47C68492" wp14:editId="25D8A464">
                <wp:simplePos x="0" y="0"/>
                <wp:positionH relativeFrom="column">
                  <wp:posOffset>-2962910</wp:posOffset>
                </wp:positionH>
                <wp:positionV relativeFrom="paragraph">
                  <wp:posOffset>52705</wp:posOffset>
                </wp:positionV>
                <wp:extent cx="563245" cy="1270"/>
                <wp:effectExtent l="38100" t="38100" r="66675" b="95250"/>
                <wp:wrapNone/>
                <wp:docPr id="1" name="Connettore 1 2"/>
                <wp:cNvGraphicFramePr/>
                <a:graphic xmlns:a="http://schemas.openxmlformats.org/drawingml/2006/main">
                  <a:graphicData uri="http://schemas.microsoft.com/office/word/2010/wordprocessingShape">
                    <wps:wsp>
                      <wps:cNvCnPr/>
                      <wps:spPr>
                        <a:xfrm>
                          <a:off x="0" y="0"/>
                          <a:ext cx="562680" cy="720"/>
                        </a:xfrm>
                        <a:prstGeom prst="line">
                          <a:avLst/>
                        </a:prstGeom>
                        <a:ln>
                          <a:solidFill>
                            <a:schemeClr val="bg1">
                              <a:lumMod val="65000"/>
                            </a:schemeClr>
                          </a:solidFill>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233.35pt,4.15pt" to="-189.1pt,4.15pt" ID="Connettore 1 2" stroked="t" style="position:absolute" wp14:anchorId="11031146">
                <v:stroke color="#a6a6a6" weight="25560" joinstyle="round" endcap="flat"/>
                <v:fill o:detectmouseclick="t" on="false"/>
                <v:shadow on="t" obscured="f" color="black"/>
              </v:line>
            </w:pict>
          </mc:Fallback>
        </mc:AlternateContent>
      </w:r>
    </w:p>
    <w:p w14:paraId="51713481" w14:textId="77777777" w:rsidR="005D0112" w:rsidRDefault="005D0112">
      <w:pPr>
        <w:ind w:left="567" w:right="565"/>
        <w:jc w:val="both"/>
        <w:rPr>
          <w:rFonts w:ascii="Century Gothic" w:hAnsi="Century Gothic" w:cs="Courier New"/>
          <w:color w:val="1F497D" w:themeColor="text2"/>
          <w:sz w:val="24"/>
        </w:rPr>
      </w:pPr>
    </w:p>
    <w:p w14:paraId="7EF80B35" w14:textId="77777777" w:rsidR="005D0112" w:rsidRDefault="005D0112">
      <w:pPr>
        <w:ind w:left="567" w:right="565"/>
        <w:jc w:val="both"/>
        <w:rPr>
          <w:rFonts w:ascii="Century Gothic" w:hAnsi="Century Gothic" w:cs="Courier New"/>
          <w:b/>
          <w:color w:val="1F497D" w:themeColor="text2"/>
          <w:sz w:val="28"/>
        </w:rPr>
      </w:pPr>
    </w:p>
    <w:p w14:paraId="0CD2E200" w14:textId="77777777" w:rsidR="005D0112" w:rsidRDefault="005D0112">
      <w:pPr>
        <w:ind w:left="567" w:right="565"/>
        <w:jc w:val="both"/>
        <w:rPr>
          <w:rFonts w:ascii="Century Gothic" w:hAnsi="Century Gothic" w:cs="Courier New"/>
          <w:b/>
          <w:color w:val="1F497D" w:themeColor="text2"/>
          <w:sz w:val="28"/>
        </w:rPr>
      </w:pPr>
    </w:p>
    <w:p w14:paraId="1134C34A" w14:textId="77777777" w:rsidR="005D0112" w:rsidRDefault="005D0112">
      <w:pPr>
        <w:ind w:left="567" w:right="565"/>
        <w:jc w:val="both"/>
        <w:rPr>
          <w:rFonts w:ascii="Century Gothic" w:hAnsi="Century Gothic" w:cs="Courier New"/>
          <w:b/>
          <w:color w:val="1F497D" w:themeColor="text2"/>
          <w:sz w:val="28"/>
        </w:rPr>
      </w:pPr>
    </w:p>
    <w:p w14:paraId="3034A495" w14:textId="77777777" w:rsidR="005D0112" w:rsidRDefault="00C2086C">
      <w:pPr>
        <w:ind w:left="567" w:right="565"/>
        <w:jc w:val="both"/>
        <w:rPr>
          <w:rFonts w:ascii="Century Gothic" w:hAnsi="Century Gothic" w:cs="Courier New"/>
          <w:b/>
          <w:bCs/>
          <w:i/>
          <w:color w:val="1F497D" w:themeColor="text2"/>
          <w:sz w:val="24"/>
        </w:rPr>
      </w:pPr>
      <w:bookmarkStart w:id="0" w:name="_Hlk20383718"/>
      <w:bookmarkEnd w:id="0"/>
      <w:r>
        <w:rPr>
          <w:rFonts w:ascii="Century Gothic" w:hAnsi="Century Gothic" w:cs="Courier New"/>
          <w:b/>
          <w:color w:val="1F497D" w:themeColor="text2"/>
          <w:sz w:val="28"/>
        </w:rPr>
        <w:t xml:space="preserve">Consultazione preliminare di mercato, ai sensi dell’art. 66 comma 1 del D. Lgs 50/2016, per il </w:t>
      </w:r>
      <w:r w:rsidR="00661473">
        <w:rPr>
          <w:rFonts w:ascii="Century Gothic" w:hAnsi="Century Gothic" w:cs="Courier New"/>
          <w:b/>
          <w:color w:val="1F497D" w:themeColor="text2"/>
          <w:sz w:val="28"/>
        </w:rPr>
        <w:t>r</w:t>
      </w:r>
      <w:r w:rsidR="00661473" w:rsidRPr="00661473">
        <w:rPr>
          <w:rFonts w:ascii="Century Gothic" w:hAnsi="Century Gothic" w:cs="Courier New"/>
          <w:b/>
          <w:color w:val="1F497D" w:themeColor="text2"/>
          <w:sz w:val="28"/>
        </w:rPr>
        <w:t xml:space="preserve">innovo </w:t>
      </w:r>
      <w:r w:rsidR="00CF1FA7">
        <w:rPr>
          <w:rFonts w:ascii="Century Gothic" w:hAnsi="Century Gothic" w:cs="Courier New"/>
          <w:b/>
          <w:color w:val="1F497D" w:themeColor="text2"/>
          <w:sz w:val="28"/>
        </w:rPr>
        <w:t xml:space="preserve">della soluzione informatica </w:t>
      </w:r>
      <w:r w:rsidR="00CF1FA7" w:rsidRPr="00CF1FA7">
        <w:rPr>
          <w:rFonts w:ascii="Century Gothic" w:hAnsi="Century Gothic" w:cs="Courier New"/>
          <w:b/>
          <w:color w:val="1F497D" w:themeColor="text2"/>
          <w:sz w:val="28"/>
        </w:rPr>
        <w:t xml:space="preserve">per la gestione, secondo la normativa </w:t>
      </w:r>
      <w:r w:rsidR="00CF1FA7">
        <w:rPr>
          <w:rFonts w:ascii="Century Gothic" w:hAnsi="Century Gothic" w:cs="Courier New"/>
          <w:b/>
          <w:color w:val="1F497D" w:themeColor="text2"/>
          <w:sz w:val="28"/>
        </w:rPr>
        <w:t>vigente</w:t>
      </w:r>
      <w:r w:rsidR="00CF1FA7" w:rsidRPr="00CF1FA7">
        <w:rPr>
          <w:rFonts w:ascii="Century Gothic" w:hAnsi="Century Gothic" w:cs="Courier New"/>
          <w:b/>
          <w:color w:val="1F497D" w:themeColor="text2"/>
          <w:sz w:val="28"/>
        </w:rPr>
        <w:t>, della relazione con il sistema del Processo Civile Telematico del Ministero di Giustizia</w:t>
      </w:r>
    </w:p>
    <w:p w14:paraId="6E9AB288" w14:textId="77777777" w:rsidR="005D0112" w:rsidRDefault="005D0112">
      <w:pPr>
        <w:ind w:left="567" w:right="565"/>
        <w:jc w:val="both"/>
        <w:rPr>
          <w:rFonts w:ascii="Century Gothic" w:hAnsi="Century Gothic" w:cs="Courier New"/>
          <w:b/>
          <w:bCs/>
          <w:i/>
          <w:color w:val="1F497D" w:themeColor="text2"/>
          <w:sz w:val="24"/>
        </w:rPr>
      </w:pPr>
    </w:p>
    <w:p w14:paraId="3FBFF368" w14:textId="77777777" w:rsidR="005D0112" w:rsidRDefault="005D0112">
      <w:pPr>
        <w:ind w:left="567" w:right="565"/>
        <w:jc w:val="both"/>
        <w:rPr>
          <w:rFonts w:ascii="Century Gothic" w:hAnsi="Century Gothic" w:cs="Courier New"/>
          <w:b/>
          <w:bCs/>
          <w:i/>
          <w:color w:val="1F497D" w:themeColor="text2"/>
          <w:sz w:val="24"/>
        </w:rPr>
      </w:pPr>
    </w:p>
    <w:p w14:paraId="41E9BB1E" w14:textId="77777777" w:rsidR="005D0112" w:rsidRDefault="005D0112">
      <w:pPr>
        <w:ind w:left="567" w:right="565"/>
        <w:jc w:val="both"/>
        <w:rPr>
          <w:rFonts w:ascii="Century Gothic" w:hAnsi="Century Gothic" w:cs="Courier New"/>
          <w:b/>
          <w:bCs/>
          <w:i/>
          <w:color w:val="1F497D" w:themeColor="text2"/>
          <w:sz w:val="24"/>
        </w:rPr>
      </w:pPr>
    </w:p>
    <w:p w14:paraId="3EBC3BAD" w14:textId="77777777" w:rsidR="005D0112" w:rsidRDefault="005D0112">
      <w:pPr>
        <w:ind w:left="567" w:right="565"/>
        <w:jc w:val="both"/>
        <w:rPr>
          <w:rFonts w:ascii="Century Gothic" w:hAnsi="Century Gothic" w:cs="Courier New"/>
          <w:b/>
          <w:bCs/>
          <w:i/>
          <w:color w:val="1F497D" w:themeColor="text2"/>
          <w:sz w:val="24"/>
        </w:rPr>
      </w:pPr>
    </w:p>
    <w:p w14:paraId="564A2427" w14:textId="77777777" w:rsidR="005D0112" w:rsidRDefault="005D0112">
      <w:pPr>
        <w:ind w:left="567" w:right="565"/>
        <w:jc w:val="both"/>
        <w:rPr>
          <w:rFonts w:ascii="Century Gothic" w:hAnsi="Century Gothic" w:cs="Courier New"/>
          <w:b/>
          <w:bCs/>
          <w:i/>
          <w:color w:val="1F497D" w:themeColor="text2"/>
          <w:sz w:val="24"/>
        </w:rPr>
      </w:pPr>
    </w:p>
    <w:p w14:paraId="7559D0DE" w14:textId="77777777" w:rsidR="005D0112" w:rsidRDefault="005D0112">
      <w:pPr>
        <w:ind w:left="567" w:right="565"/>
        <w:jc w:val="both"/>
        <w:rPr>
          <w:rFonts w:ascii="Century Gothic" w:hAnsi="Century Gothic" w:cs="Courier New"/>
          <w:b/>
          <w:bCs/>
          <w:i/>
          <w:color w:val="1F497D" w:themeColor="text2"/>
          <w:sz w:val="24"/>
        </w:rPr>
      </w:pPr>
    </w:p>
    <w:p w14:paraId="11AED9A6" w14:textId="77777777" w:rsidR="005D0112" w:rsidRDefault="005D0112">
      <w:pPr>
        <w:ind w:left="567" w:right="565"/>
        <w:jc w:val="both"/>
        <w:rPr>
          <w:rFonts w:ascii="Century Gothic" w:hAnsi="Century Gothic" w:cs="Courier New"/>
          <w:b/>
          <w:bCs/>
          <w:i/>
          <w:color w:val="1F497D" w:themeColor="text2"/>
          <w:sz w:val="24"/>
        </w:rPr>
      </w:pPr>
    </w:p>
    <w:p w14:paraId="7BE078A9" w14:textId="77777777" w:rsidR="005D0112" w:rsidRDefault="005D0112">
      <w:pPr>
        <w:ind w:left="567" w:right="565"/>
        <w:jc w:val="both"/>
        <w:rPr>
          <w:rFonts w:ascii="Century Gothic" w:hAnsi="Century Gothic" w:cs="Courier New"/>
          <w:b/>
          <w:bCs/>
          <w:i/>
          <w:color w:val="1F497D" w:themeColor="text2"/>
          <w:sz w:val="24"/>
        </w:rPr>
      </w:pPr>
    </w:p>
    <w:p w14:paraId="6D81F6E9" w14:textId="77777777" w:rsidR="005D0112" w:rsidRDefault="005D0112">
      <w:pPr>
        <w:ind w:left="567" w:right="565"/>
        <w:jc w:val="both"/>
        <w:rPr>
          <w:rFonts w:ascii="Century Gothic" w:hAnsi="Century Gothic" w:cs="Courier New"/>
          <w:b/>
          <w:bCs/>
          <w:i/>
          <w:color w:val="1F497D" w:themeColor="text2"/>
          <w:sz w:val="24"/>
        </w:rPr>
      </w:pPr>
    </w:p>
    <w:p w14:paraId="2DEA2AE1" w14:textId="77777777" w:rsidR="005D0112" w:rsidRDefault="005D0112">
      <w:pPr>
        <w:ind w:left="567" w:right="565"/>
        <w:jc w:val="both"/>
        <w:rPr>
          <w:rFonts w:ascii="Century Gothic" w:hAnsi="Century Gothic" w:cs="Courier New"/>
          <w:b/>
          <w:bCs/>
          <w:i/>
          <w:color w:val="1F497D" w:themeColor="text2"/>
          <w:sz w:val="24"/>
        </w:rPr>
      </w:pPr>
    </w:p>
    <w:p w14:paraId="0B7BB250" w14:textId="77777777" w:rsidR="005D0112" w:rsidRDefault="00C2086C">
      <w:pPr>
        <w:spacing w:after="0" w:line="240" w:lineRule="auto"/>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Agenzia delle </w:t>
      </w:r>
      <w:proofErr w:type="spellStart"/>
      <w:r>
        <w:rPr>
          <w:rFonts w:ascii="Century Gothic" w:hAnsi="Century Gothic" w:cs="Courier New"/>
          <w:b/>
          <w:bCs/>
          <w:i/>
          <w:color w:val="1F497D" w:themeColor="text2"/>
          <w:sz w:val="20"/>
          <w:szCs w:val="20"/>
        </w:rPr>
        <w:t>entrate-Riscossione</w:t>
      </w:r>
      <w:proofErr w:type="spellEnd"/>
    </w:p>
    <w:p w14:paraId="23745FDC" w14:textId="77777777"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428E489F" w14:textId="77777777"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6784E376" w14:textId="77777777" w:rsidR="005D0112" w:rsidRDefault="000C248C">
      <w:pPr>
        <w:spacing w:after="0" w:line="240" w:lineRule="auto"/>
        <w:ind w:left="567" w:right="565"/>
        <w:jc w:val="both"/>
      </w:pPr>
      <w:hyperlink r:id="rId11">
        <w:r w:rsidR="00C2086C">
          <w:rPr>
            <w:rStyle w:val="CollegamentoInternet"/>
            <w:rFonts w:ascii="Century Gothic" w:hAnsi="Century Gothic" w:cs="Courier New"/>
            <w:b/>
            <w:bCs/>
            <w:sz w:val="20"/>
            <w:szCs w:val="20"/>
          </w:rPr>
          <w:t>pianif.acquisti.monit.contratti@pec.agenziariscossione.gov.it</w:t>
        </w:r>
      </w:hyperlink>
      <w:r w:rsidR="00C2086C">
        <w:br w:type="page"/>
      </w:r>
    </w:p>
    <w:p w14:paraId="70170EB0" w14:textId="77777777" w:rsidR="005D0112" w:rsidRDefault="00C2086C">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PREMESSA E MODALITA’ DI INVIO DEI CONTRIBUTI</w:t>
      </w:r>
    </w:p>
    <w:p w14:paraId="3F9B7A90" w14:textId="03557EA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szCs w:val="24"/>
        </w:rPr>
        <w:t xml:space="preserve">L’Ente Pubblico Economico “Agenzia delle </w:t>
      </w:r>
      <w:proofErr w:type="spellStart"/>
      <w:r>
        <w:rPr>
          <w:rFonts w:ascii="Century Gothic" w:hAnsi="Century Gothic" w:cs="Courier New"/>
          <w:color w:val="1F497D" w:themeColor="text2"/>
          <w:sz w:val="24"/>
          <w:szCs w:val="24"/>
        </w:rPr>
        <w:t>entrate-Riscossione</w:t>
      </w:r>
      <w:proofErr w:type="spellEnd"/>
      <w:r>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rPr>
        <w:t>(di seguito anche solo Agenzia)</w:t>
      </w:r>
      <w:r w:rsidR="00702485">
        <w:rPr>
          <w:rFonts w:ascii="Century Gothic" w:hAnsi="Century Gothic" w:cs="Courier New"/>
          <w:color w:val="1F497D" w:themeColor="text2"/>
          <w:sz w:val="24"/>
        </w:rPr>
        <w:t>, per la gestione del Processo Civile Telematico</w:t>
      </w:r>
      <w:r w:rsidR="00C077E2">
        <w:rPr>
          <w:rFonts w:ascii="Century Gothic" w:hAnsi="Century Gothic" w:cs="Courier New"/>
          <w:color w:val="1F497D" w:themeColor="text2"/>
          <w:sz w:val="24"/>
        </w:rPr>
        <w:t xml:space="preserve"> (di seguito anche solo PCT)</w:t>
      </w:r>
      <w:r w:rsidR="00702485">
        <w:rPr>
          <w:rFonts w:ascii="Century Gothic" w:hAnsi="Century Gothic" w:cs="Courier New"/>
          <w:color w:val="1F497D" w:themeColor="text2"/>
          <w:sz w:val="24"/>
        </w:rPr>
        <w:t xml:space="preserve">, si avvale dell’utilizzo </w:t>
      </w:r>
      <w:r w:rsidR="00C077E2">
        <w:rPr>
          <w:rFonts w:ascii="Century Gothic" w:hAnsi="Century Gothic" w:cs="Courier New"/>
          <w:color w:val="1F497D" w:themeColor="text2"/>
          <w:sz w:val="24"/>
        </w:rPr>
        <w:t>della soluzione informatica</w:t>
      </w:r>
      <w:r w:rsidR="00702485">
        <w:rPr>
          <w:rFonts w:ascii="Century Gothic" w:hAnsi="Century Gothic" w:cs="Courier New"/>
          <w:color w:val="1F497D" w:themeColor="text2"/>
          <w:sz w:val="24"/>
        </w:rPr>
        <w:t xml:space="preserve"> “Easy Telematico Enti” ed </w:t>
      </w:r>
      <w:r>
        <w:rPr>
          <w:rFonts w:ascii="Century Gothic" w:hAnsi="Century Gothic" w:cs="Courier New"/>
          <w:color w:val="1F497D" w:themeColor="text2"/>
          <w:sz w:val="24"/>
        </w:rPr>
        <w:t xml:space="preserve">intende procedere al </w:t>
      </w:r>
      <w:r w:rsidR="00661473">
        <w:rPr>
          <w:rFonts w:ascii="Century Gothic" w:hAnsi="Century Gothic" w:cs="Courier New"/>
          <w:color w:val="1F497D" w:themeColor="text2"/>
          <w:sz w:val="24"/>
        </w:rPr>
        <w:t>r</w:t>
      </w:r>
      <w:r w:rsidR="00661473" w:rsidRPr="00661473">
        <w:rPr>
          <w:rFonts w:ascii="Century Gothic" w:hAnsi="Century Gothic" w:cs="Courier New"/>
          <w:color w:val="1F497D" w:themeColor="text2"/>
          <w:sz w:val="24"/>
        </w:rPr>
        <w:t>innovo licenze software e servizi di manutenzione</w:t>
      </w:r>
      <w:r w:rsidR="00C077E2">
        <w:rPr>
          <w:rFonts w:ascii="Century Gothic" w:hAnsi="Century Gothic" w:cs="Courier New"/>
          <w:color w:val="1F497D" w:themeColor="text2"/>
          <w:sz w:val="24"/>
        </w:rPr>
        <w:t>,</w:t>
      </w:r>
      <w:r w:rsidR="00661473" w:rsidRPr="00661473">
        <w:rPr>
          <w:rFonts w:ascii="Century Gothic" w:hAnsi="Century Gothic" w:cs="Courier New"/>
          <w:color w:val="1F497D" w:themeColor="text2"/>
          <w:sz w:val="24"/>
        </w:rPr>
        <w:t xml:space="preserve"> </w:t>
      </w:r>
      <w:r>
        <w:rPr>
          <w:rFonts w:ascii="Century Gothic" w:hAnsi="Century Gothic" w:cs="Courier New"/>
          <w:color w:val="1F497D" w:themeColor="text2"/>
          <w:sz w:val="24"/>
        </w:rPr>
        <w:t>come di seguito meglio dettagliato. Preliminarmente all’avvio della relativa procedura di affidamento, l’Agenzia ritiene opportuno procedere ad una consultazione del mercato ai sensi dell’art. 66 comma 1 del D. Lgs 50/2016, al fine di verificare se tali licenze abbiano un mercato di riferimento, appurando altresì l’esistenza sul mercato di sistemi alternativi a quello attualmente in uso aventi caratteristiche e funzionalità analoghe (con la preferenza per sistemi aperti e licenze open source), valutandone l’eventuale convenienza rispetto al sistema in uso.</w:t>
      </w:r>
    </w:p>
    <w:p w14:paraId="01E88219" w14:textId="4740C8E7" w:rsidR="00C26EF2" w:rsidRPr="00D736D5" w:rsidRDefault="00C26EF2" w:rsidP="00C26EF2">
      <w:pPr>
        <w:ind w:left="567" w:right="565" w:firstLine="567"/>
        <w:jc w:val="both"/>
        <w:rPr>
          <w:rFonts w:ascii="Century Gothic" w:hAnsi="Century Gothic" w:cs="Courier New"/>
          <w:color w:val="1F497D" w:themeColor="text2"/>
          <w:sz w:val="24"/>
        </w:rPr>
      </w:pPr>
      <w:r w:rsidRPr="00FD1416">
        <w:rPr>
          <w:rFonts w:ascii="Century Gothic" w:hAnsi="Century Gothic" w:cs="Courier New"/>
          <w:color w:val="1F497D" w:themeColor="text2"/>
          <w:sz w:val="24"/>
        </w:rPr>
        <w:t>All’esito della presente consultazione l’Agenzia, ove ne ricorrano i presupposti, valuterà di procedere all’approvvigionamento del servizio tramite procedura negoziata ai sensi dell’art. 63, comma 2 lett. b) per le eccezioni di cui ai punti 2) e 3) del D. Lgs 50/2016</w:t>
      </w:r>
      <w:r w:rsidR="00257840" w:rsidRPr="00257840">
        <w:t xml:space="preserve"> </w:t>
      </w:r>
      <w:r w:rsidR="00257840" w:rsidRPr="00257840">
        <w:rPr>
          <w:rFonts w:ascii="Century Gothic" w:hAnsi="Century Gothic" w:cs="Courier New"/>
          <w:color w:val="1F497D" w:themeColor="text2"/>
          <w:sz w:val="24"/>
        </w:rPr>
        <w:t>ovvero con affidamento diretto di cui all’art.1, comma 2, lettera a) del D.L.76/2020, (c.d. Decreto semplificazioni), convertito con la L. nr. 120/2020</w:t>
      </w:r>
      <w:r w:rsidRPr="00FD1416">
        <w:rPr>
          <w:rFonts w:ascii="Century Gothic" w:hAnsi="Century Gothic" w:cs="Courier New"/>
          <w:color w:val="1F497D" w:themeColor="text2"/>
          <w:sz w:val="24"/>
        </w:rPr>
        <w:t>.</w:t>
      </w:r>
    </w:p>
    <w:p w14:paraId="4AB9AD45"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sidRPr="004E087D">
        <w:rPr>
          <w:rFonts w:ascii="Century Gothic" w:hAnsi="Century Gothic" w:cs="Courier New"/>
          <w:b/>
          <w:color w:val="1F497D" w:themeColor="text2"/>
          <w:sz w:val="24"/>
        </w:rPr>
        <w:t xml:space="preserve">– </w:t>
      </w:r>
      <w:r>
        <w:rPr>
          <w:rFonts w:ascii="Century Gothic" w:hAnsi="Century Gothic" w:cs="Courier New"/>
          <w:b/>
          <w:color w:val="1F497D" w:themeColor="text2"/>
          <w:sz w:val="24"/>
          <w:u w:val="single"/>
        </w:rPr>
        <w:t>anche solo per le parti di interesse</w:t>
      </w:r>
      <w:r w:rsidRPr="004E087D">
        <w:rPr>
          <w:rFonts w:ascii="Century Gothic" w:hAnsi="Century Gothic" w:cs="Courier New"/>
          <w:b/>
          <w:color w:val="1F497D" w:themeColor="text2"/>
          <w:sz w:val="24"/>
        </w:rPr>
        <w:t xml:space="preserve"> </w:t>
      </w:r>
      <w:r w:rsidR="00437365" w:rsidRPr="004E087D">
        <w:rPr>
          <w:rFonts w:ascii="Century Gothic" w:hAnsi="Century Gothic" w:cs="Courier New"/>
          <w:b/>
          <w:color w:val="1F497D" w:themeColor="text2"/>
          <w:sz w:val="24"/>
        </w:rPr>
        <w:t xml:space="preserve">– </w:t>
      </w:r>
      <w:r>
        <w:rPr>
          <w:rFonts w:ascii="Century Gothic" w:hAnsi="Century Gothic" w:cs="Courier New"/>
          <w:color w:val="1F497D" w:themeColor="text2"/>
          <w:sz w:val="24"/>
        </w:rPr>
        <w:t>il questionario di seguito allegato, che dovrà essere sottoscritto da persona munita di idonei poteri di rappresentanza.</w:t>
      </w:r>
    </w:p>
    <w:p w14:paraId="50390A6E"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Il documento dovrà essere </w:t>
      </w:r>
      <w:proofErr w:type="spellStart"/>
      <w:r>
        <w:rPr>
          <w:rFonts w:ascii="Century Gothic" w:hAnsi="Century Gothic" w:cs="Courier New"/>
          <w:color w:val="1F497D" w:themeColor="text2"/>
          <w:sz w:val="24"/>
        </w:rPr>
        <w:t>inviato</w:t>
      </w:r>
      <w:proofErr w:type="spellEnd"/>
      <w:r w:rsidR="00C077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entro </w:t>
      </w:r>
      <w:r w:rsidR="00C077E2">
        <w:rPr>
          <w:rFonts w:ascii="Century Gothic" w:hAnsi="Century Gothic" w:cs="Courier New"/>
          <w:b/>
          <w:color w:val="1F497D" w:themeColor="text2"/>
          <w:sz w:val="24"/>
        </w:rPr>
        <w:t xml:space="preserve">20 </w:t>
      </w:r>
      <w:r>
        <w:rPr>
          <w:rFonts w:ascii="Century Gothic" w:hAnsi="Century Gothic" w:cs="Courier New"/>
          <w:b/>
          <w:color w:val="1F497D" w:themeColor="text2"/>
          <w:sz w:val="24"/>
        </w:rPr>
        <w:t>(</w:t>
      </w:r>
      <w:r w:rsidR="00C077E2">
        <w:rPr>
          <w:rFonts w:ascii="Century Gothic" w:hAnsi="Century Gothic" w:cs="Courier New"/>
          <w:b/>
          <w:color w:val="1F497D" w:themeColor="text2"/>
          <w:sz w:val="24"/>
        </w:rPr>
        <w:t>venti</w:t>
      </w:r>
      <w:r>
        <w:rPr>
          <w:rFonts w:ascii="Century Gothic" w:hAnsi="Century Gothic" w:cs="Courier New"/>
          <w:b/>
          <w:color w:val="1F497D" w:themeColor="text2"/>
          <w:sz w:val="24"/>
        </w:rPr>
        <w:t xml:space="preserve">) giorni </w:t>
      </w:r>
      <w:r>
        <w:rPr>
          <w:rFonts w:ascii="Century Gothic" w:hAnsi="Century Gothic" w:cs="Courier New"/>
          <w:color w:val="1F497D" w:themeColor="text2"/>
          <w:sz w:val="24"/>
        </w:rPr>
        <w:t xml:space="preserve">dalla data di pubblicazione, sotto riportata, al seguente indirizzo PEC: </w:t>
      </w:r>
    </w:p>
    <w:p w14:paraId="3751FA0C"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b/>
          <w:color w:val="1F497D" w:themeColor="text2"/>
          <w:sz w:val="24"/>
        </w:rPr>
        <w:t>pianif.acquisti.monit.contratti@pec.agenziariscossione.gov.it.</w:t>
      </w:r>
    </w:p>
    <w:p w14:paraId="5EF28143"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Tutte le informazioni fornite con il presente documento saranno utilizzate ai soli fini dello sviluppo dell’iniziativa in oggetto.</w:t>
      </w:r>
    </w:p>
    <w:p w14:paraId="1855DE8E"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Dall’utilizzo di tale procedura di consultazione non derivano vincoli per l’Agenzia, né alcuna aspettativa, di fatto o di diritto, da parte degli </w:t>
      </w:r>
      <w:r>
        <w:rPr>
          <w:rFonts w:ascii="Century Gothic" w:hAnsi="Century Gothic" w:cs="Courier New"/>
          <w:color w:val="1F497D" w:themeColor="text2"/>
          <w:sz w:val="24"/>
        </w:rPr>
        <w:lastRenderedPageBreak/>
        <w:t>operatori di mercato relativa allo svolgimento del procedimento selettivo.</w:t>
      </w:r>
    </w:p>
    <w:p w14:paraId="3147A0B0"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 si riserva la facoltà di interrompere, modificare, prorogare, sospendere la procedura, consentendo, a richiesta dei soggetti intervenuti, la restituzione della documentazione eventualmente depositata, senza che ciò possa costituire, in alcun modo, diritto o pretesa a qualsivoglia risarcimento o indennizzo.</w:t>
      </w:r>
    </w:p>
    <w:p w14:paraId="23EC5522"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3C8AC0FC"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321A4FE6"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367807EB"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35D48249" w14:textId="77777777" w:rsidR="005D0112" w:rsidRDefault="005D0112">
      <w:pPr>
        <w:ind w:left="567" w:right="565"/>
        <w:jc w:val="both"/>
        <w:rPr>
          <w:rFonts w:ascii="Century Gothic" w:hAnsi="Century Gothic" w:cs="Courier New"/>
          <w:b/>
          <w:bCs/>
          <w:color w:val="1F497D" w:themeColor="text2"/>
          <w:sz w:val="24"/>
        </w:rPr>
      </w:pPr>
    </w:p>
    <w:p w14:paraId="34970209" w14:textId="5781F3EB" w:rsidR="00437365" w:rsidRDefault="00C2086C">
      <w:pPr>
        <w:ind w:left="567" w:right="565"/>
        <w:jc w:val="both"/>
        <w:rPr>
          <w:rFonts w:ascii="Century Gothic" w:hAnsi="Century Gothic" w:cs="Courier New"/>
          <w:b/>
          <w:color w:val="1F497D" w:themeColor="text2"/>
          <w:sz w:val="24"/>
        </w:rPr>
      </w:pPr>
      <w:r w:rsidRPr="009D7A32">
        <w:rPr>
          <w:rFonts w:ascii="Century Gothic" w:hAnsi="Century Gothic" w:cs="Courier New"/>
          <w:color w:val="1F497D" w:themeColor="text2"/>
          <w:sz w:val="24"/>
        </w:rPr>
        <w:t xml:space="preserve">Roma, </w:t>
      </w:r>
      <w:r w:rsidR="00FA4E84">
        <w:rPr>
          <w:rFonts w:ascii="Century Gothic" w:hAnsi="Century Gothic" w:cs="Courier New"/>
          <w:b/>
          <w:color w:val="1F497D" w:themeColor="text2"/>
          <w:sz w:val="24"/>
        </w:rPr>
        <w:t>13</w:t>
      </w:r>
      <w:r w:rsidR="00091D16">
        <w:rPr>
          <w:rFonts w:ascii="Century Gothic" w:hAnsi="Century Gothic" w:cs="Courier New"/>
          <w:b/>
          <w:color w:val="1F497D" w:themeColor="text2"/>
          <w:sz w:val="24"/>
        </w:rPr>
        <w:t>/</w:t>
      </w:r>
      <w:r w:rsidR="00AE30F1">
        <w:rPr>
          <w:rFonts w:ascii="Century Gothic" w:hAnsi="Century Gothic" w:cs="Courier New"/>
          <w:b/>
          <w:color w:val="1F497D" w:themeColor="text2"/>
          <w:sz w:val="24"/>
        </w:rPr>
        <w:t>0</w:t>
      </w:r>
      <w:r w:rsidR="00666F6B">
        <w:rPr>
          <w:rFonts w:ascii="Century Gothic" w:hAnsi="Century Gothic" w:cs="Courier New"/>
          <w:b/>
          <w:color w:val="1F497D" w:themeColor="text2"/>
          <w:sz w:val="24"/>
        </w:rPr>
        <w:t>3</w:t>
      </w:r>
      <w:r w:rsidR="00091D16">
        <w:rPr>
          <w:rFonts w:ascii="Century Gothic" w:hAnsi="Century Gothic" w:cs="Courier New"/>
          <w:b/>
          <w:color w:val="1F497D" w:themeColor="text2"/>
          <w:sz w:val="24"/>
        </w:rPr>
        <w:t>/202</w:t>
      </w:r>
      <w:r w:rsidR="00AE30F1">
        <w:rPr>
          <w:rFonts w:ascii="Century Gothic" w:hAnsi="Century Gothic" w:cs="Courier New"/>
          <w:b/>
          <w:color w:val="1F497D" w:themeColor="text2"/>
          <w:sz w:val="24"/>
        </w:rPr>
        <w:t>3</w:t>
      </w:r>
    </w:p>
    <w:p w14:paraId="2035F31B" w14:textId="77777777" w:rsidR="00437365" w:rsidRDefault="00437365">
      <w:pPr>
        <w:spacing w:after="0" w:line="240" w:lineRule="auto"/>
        <w:rPr>
          <w:rFonts w:ascii="Century Gothic" w:hAnsi="Century Gothic" w:cs="Courier New"/>
          <w:b/>
          <w:color w:val="1F497D" w:themeColor="text2"/>
          <w:sz w:val="24"/>
        </w:rPr>
      </w:pPr>
      <w:r>
        <w:rPr>
          <w:rFonts w:ascii="Century Gothic" w:hAnsi="Century Gothic" w:cs="Courier New"/>
          <w:b/>
          <w:color w:val="1F497D" w:themeColor="text2"/>
          <w:sz w:val="24"/>
        </w:rPr>
        <w:br w:type="page"/>
      </w:r>
    </w:p>
    <w:p w14:paraId="50BC127F" w14:textId="77777777" w:rsidR="005D0112" w:rsidRDefault="00C2086C">
      <w:pPr>
        <w:ind w:left="567" w:right="565"/>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CellMar>
          <w:left w:w="70" w:type="dxa"/>
          <w:right w:w="70" w:type="dxa"/>
        </w:tblCellMar>
        <w:tblLook w:val="04A0" w:firstRow="1" w:lastRow="0" w:firstColumn="1" w:lastColumn="0" w:noHBand="0" w:noVBand="1"/>
      </w:tblPr>
      <w:tblGrid>
        <w:gridCol w:w="4535"/>
        <w:gridCol w:w="3685"/>
      </w:tblGrid>
      <w:tr w:rsidR="005D0112" w14:paraId="02847415" w14:textId="77777777">
        <w:tc>
          <w:tcPr>
            <w:tcW w:w="4534" w:type="dxa"/>
            <w:tcBorders>
              <w:top w:val="single" w:sz="2" w:space="0" w:color="000080"/>
              <w:bottom w:val="single" w:sz="2" w:space="0" w:color="000080"/>
            </w:tcBorders>
            <w:shd w:val="clear" w:color="auto" w:fill="auto"/>
            <w:vAlign w:val="center"/>
          </w:tcPr>
          <w:p w14:paraId="5A1E7B1C"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Azienda</w:t>
            </w:r>
          </w:p>
        </w:tc>
        <w:tc>
          <w:tcPr>
            <w:tcW w:w="3685" w:type="dxa"/>
            <w:tcBorders>
              <w:top w:val="single" w:sz="2" w:space="0" w:color="000080"/>
              <w:bottom w:val="single" w:sz="2" w:space="0" w:color="000080"/>
            </w:tcBorders>
            <w:shd w:val="clear" w:color="auto" w:fill="auto"/>
          </w:tcPr>
          <w:p w14:paraId="5E65CD5E" w14:textId="77777777" w:rsidR="005D0112" w:rsidRDefault="00C2086C">
            <w:pPr>
              <w:ind w:left="567"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p>
        </w:tc>
      </w:tr>
      <w:tr w:rsidR="005D0112" w14:paraId="216E658E" w14:textId="77777777">
        <w:tc>
          <w:tcPr>
            <w:tcW w:w="4534" w:type="dxa"/>
            <w:tcBorders>
              <w:top w:val="single" w:sz="2" w:space="0" w:color="000080"/>
              <w:bottom w:val="single" w:sz="2" w:space="0" w:color="000080"/>
            </w:tcBorders>
            <w:shd w:val="clear" w:color="auto" w:fill="auto"/>
            <w:vAlign w:val="center"/>
          </w:tcPr>
          <w:p w14:paraId="2E65F071"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Indirizzo </w:t>
            </w:r>
          </w:p>
        </w:tc>
        <w:tc>
          <w:tcPr>
            <w:tcW w:w="3685" w:type="dxa"/>
            <w:tcBorders>
              <w:top w:val="single" w:sz="2" w:space="0" w:color="000080"/>
              <w:bottom w:val="single" w:sz="2" w:space="0" w:color="000080"/>
            </w:tcBorders>
            <w:shd w:val="clear" w:color="auto" w:fill="auto"/>
          </w:tcPr>
          <w:p w14:paraId="17C5FC57" w14:textId="77777777" w:rsidR="005D0112" w:rsidRDefault="005D0112">
            <w:pPr>
              <w:ind w:left="567" w:right="565"/>
              <w:jc w:val="both"/>
              <w:rPr>
                <w:rFonts w:ascii="Century Gothic" w:hAnsi="Century Gothic" w:cs="Courier New"/>
                <w:color w:val="1F497D" w:themeColor="text2"/>
                <w:sz w:val="24"/>
                <w:szCs w:val="24"/>
              </w:rPr>
            </w:pPr>
          </w:p>
        </w:tc>
      </w:tr>
      <w:tr w:rsidR="005D0112" w14:paraId="44031E10" w14:textId="77777777">
        <w:tc>
          <w:tcPr>
            <w:tcW w:w="4534" w:type="dxa"/>
            <w:tcBorders>
              <w:top w:val="single" w:sz="2" w:space="0" w:color="000080"/>
              <w:bottom w:val="single" w:sz="2" w:space="0" w:color="000080"/>
            </w:tcBorders>
            <w:shd w:val="clear" w:color="auto" w:fill="auto"/>
            <w:vAlign w:val="center"/>
          </w:tcPr>
          <w:p w14:paraId="233ACB29"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Nome e Cognome del referente</w:t>
            </w:r>
          </w:p>
        </w:tc>
        <w:tc>
          <w:tcPr>
            <w:tcW w:w="3685" w:type="dxa"/>
            <w:tcBorders>
              <w:top w:val="single" w:sz="2" w:space="0" w:color="000080"/>
              <w:bottom w:val="single" w:sz="2" w:space="0" w:color="000080"/>
            </w:tcBorders>
            <w:shd w:val="clear" w:color="auto" w:fill="auto"/>
          </w:tcPr>
          <w:p w14:paraId="21909DD1" w14:textId="77777777" w:rsidR="005D0112" w:rsidRDefault="005D0112">
            <w:pPr>
              <w:ind w:left="567" w:right="565"/>
              <w:jc w:val="both"/>
              <w:rPr>
                <w:rFonts w:ascii="Century Gothic" w:hAnsi="Century Gothic" w:cs="Courier New"/>
                <w:color w:val="1F497D" w:themeColor="text2"/>
                <w:sz w:val="24"/>
                <w:szCs w:val="24"/>
              </w:rPr>
            </w:pPr>
          </w:p>
        </w:tc>
      </w:tr>
      <w:tr w:rsidR="005D0112" w14:paraId="71AF75FD" w14:textId="77777777">
        <w:tc>
          <w:tcPr>
            <w:tcW w:w="4534" w:type="dxa"/>
            <w:tcBorders>
              <w:top w:val="single" w:sz="2" w:space="0" w:color="000080"/>
              <w:bottom w:val="single" w:sz="2" w:space="0" w:color="000080"/>
            </w:tcBorders>
            <w:shd w:val="clear" w:color="auto" w:fill="auto"/>
            <w:vAlign w:val="center"/>
          </w:tcPr>
          <w:p w14:paraId="46A51C10"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Ruolo in azienda</w:t>
            </w:r>
          </w:p>
        </w:tc>
        <w:tc>
          <w:tcPr>
            <w:tcW w:w="3685" w:type="dxa"/>
            <w:tcBorders>
              <w:top w:val="single" w:sz="2" w:space="0" w:color="000080"/>
              <w:bottom w:val="single" w:sz="2" w:space="0" w:color="000080"/>
            </w:tcBorders>
            <w:shd w:val="clear" w:color="auto" w:fill="auto"/>
          </w:tcPr>
          <w:p w14:paraId="473259E5" w14:textId="77777777" w:rsidR="005D0112" w:rsidRDefault="005D0112">
            <w:pPr>
              <w:ind w:left="567" w:right="565"/>
              <w:jc w:val="both"/>
              <w:rPr>
                <w:rFonts w:ascii="Century Gothic" w:hAnsi="Century Gothic" w:cs="Courier New"/>
                <w:color w:val="1F497D" w:themeColor="text2"/>
                <w:sz w:val="24"/>
                <w:szCs w:val="24"/>
              </w:rPr>
            </w:pPr>
          </w:p>
        </w:tc>
      </w:tr>
      <w:tr w:rsidR="005D0112" w14:paraId="574700A9" w14:textId="77777777">
        <w:tc>
          <w:tcPr>
            <w:tcW w:w="4534" w:type="dxa"/>
            <w:tcBorders>
              <w:top w:val="single" w:sz="2" w:space="0" w:color="000080"/>
              <w:bottom w:val="single" w:sz="2" w:space="0" w:color="000080"/>
            </w:tcBorders>
            <w:shd w:val="clear" w:color="auto" w:fill="auto"/>
            <w:vAlign w:val="center"/>
          </w:tcPr>
          <w:p w14:paraId="734E55E8"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Telefono </w:t>
            </w:r>
          </w:p>
        </w:tc>
        <w:tc>
          <w:tcPr>
            <w:tcW w:w="3685" w:type="dxa"/>
            <w:tcBorders>
              <w:top w:val="single" w:sz="2" w:space="0" w:color="000080"/>
              <w:bottom w:val="single" w:sz="2" w:space="0" w:color="000080"/>
            </w:tcBorders>
            <w:shd w:val="clear" w:color="auto" w:fill="auto"/>
          </w:tcPr>
          <w:p w14:paraId="1F428DCF" w14:textId="77777777" w:rsidR="005D0112" w:rsidRDefault="005D0112">
            <w:pPr>
              <w:ind w:left="567" w:right="565"/>
              <w:jc w:val="both"/>
              <w:rPr>
                <w:rFonts w:ascii="Century Gothic" w:hAnsi="Century Gothic" w:cs="Courier New"/>
                <w:color w:val="1F497D" w:themeColor="text2"/>
                <w:sz w:val="24"/>
                <w:szCs w:val="24"/>
              </w:rPr>
            </w:pPr>
          </w:p>
        </w:tc>
      </w:tr>
      <w:tr w:rsidR="005D0112" w14:paraId="5894C488" w14:textId="77777777">
        <w:tc>
          <w:tcPr>
            <w:tcW w:w="4534" w:type="dxa"/>
            <w:tcBorders>
              <w:top w:val="single" w:sz="2" w:space="0" w:color="000080"/>
              <w:bottom w:val="single" w:sz="2" w:space="0" w:color="000080"/>
            </w:tcBorders>
            <w:shd w:val="clear" w:color="auto" w:fill="auto"/>
            <w:vAlign w:val="center"/>
          </w:tcPr>
          <w:p w14:paraId="59F131A7"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Fax</w:t>
            </w:r>
          </w:p>
        </w:tc>
        <w:tc>
          <w:tcPr>
            <w:tcW w:w="3685" w:type="dxa"/>
            <w:tcBorders>
              <w:top w:val="single" w:sz="2" w:space="0" w:color="000080"/>
              <w:bottom w:val="single" w:sz="2" w:space="0" w:color="000080"/>
            </w:tcBorders>
            <w:shd w:val="clear" w:color="auto" w:fill="auto"/>
          </w:tcPr>
          <w:p w14:paraId="150AC0D7" w14:textId="77777777" w:rsidR="005D0112" w:rsidRDefault="005D0112">
            <w:pPr>
              <w:ind w:left="567" w:right="565"/>
              <w:jc w:val="both"/>
              <w:rPr>
                <w:rFonts w:ascii="Century Gothic" w:hAnsi="Century Gothic" w:cs="Courier New"/>
                <w:color w:val="1F497D" w:themeColor="text2"/>
                <w:sz w:val="24"/>
                <w:szCs w:val="24"/>
              </w:rPr>
            </w:pPr>
          </w:p>
        </w:tc>
      </w:tr>
      <w:tr w:rsidR="005D0112" w14:paraId="69345108" w14:textId="77777777">
        <w:tc>
          <w:tcPr>
            <w:tcW w:w="4534" w:type="dxa"/>
            <w:tcBorders>
              <w:top w:val="single" w:sz="2" w:space="0" w:color="000080"/>
              <w:bottom w:val="single" w:sz="2" w:space="0" w:color="000080"/>
            </w:tcBorders>
            <w:shd w:val="clear" w:color="auto" w:fill="auto"/>
            <w:vAlign w:val="center"/>
          </w:tcPr>
          <w:p w14:paraId="5E4479BC"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Indirizzo e-mail</w:t>
            </w:r>
          </w:p>
        </w:tc>
        <w:tc>
          <w:tcPr>
            <w:tcW w:w="3685" w:type="dxa"/>
            <w:tcBorders>
              <w:top w:val="single" w:sz="2" w:space="0" w:color="000080"/>
              <w:bottom w:val="single" w:sz="2" w:space="0" w:color="000080"/>
            </w:tcBorders>
            <w:shd w:val="clear" w:color="auto" w:fill="auto"/>
          </w:tcPr>
          <w:p w14:paraId="03FF0375" w14:textId="77777777" w:rsidR="005D0112" w:rsidRDefault="005D0112">
            <w:pPr>
              <w:ind w:left="567" w:right="565"/>
              <w:jc w:val="both"/>
              <w:rPr>
                <w:rFonts w:ascii="Century Gothic" w:hAnsi="Century Gothic" w:cs="Courier New"/>
                <w:color w:val="1F497D" w:themeColor="text2"/>
                <w:sz w:val="24"/>
                <w:szCs w:val="24"/>
              </w:rPr>
            </w:pPr>
          </w:p>
        </w:tc>
      </w:tr>
      <w:tr w:rsidR="005D0112" w14:paraId="1827CD3C" w14:textId="77777777">
        <w:tc>
          <w:tcPr>
            <w:tcW w:w="4534" w:type="dxa"/>
            <w:tcBorders>
              <w:top w:val="single" w:sz="2" w:space="0" w:color="000080"/>
              <w:bottom w:val="single" w:sz="2" w:space="0" w:color="000080"/>
            </w:tcBorders>
            <w:shd w:val="clear" w:color="auto" w:fill="auto"/>
            <w:vAlign w:val="center"/>
          </w:tcPr>
          <w:p w14:paraId="17157C39"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Data di compilazione</w:t>
            </w:r>
          </w:p>
        </w:tc>
        <w:tc>
          <w:tcPr>
            <w:tcW w:w="3685" w:type="dxa"/>
            <w:tcBorders>
              <w:top w:val="single" w:sz="2" w:space="0" w:color="000080"/>
              <w:bottom w:val="single" w:sz="2" w:space="0" w:color="000080"/>
            </w:tcBorders>
            <w:shd w:val="clear" w:color="auto" w:fill="auto"/>
          </w:tcPr>
          <w:p w14:paraId="2E4B41CB" w14:textId="77777777" w:rsidR="005D0112" w:rsidRDefault="005D0112">
            <w:pPr>
              <w:ind w:left="567" w:right="565"/>
              <w:jc w:val="both"/>
              <w:rPr>
                <w:rFonts w:ascii="Century Gothic" w:hAnsi="Century Gothic" w:cs="Courier New"/>
                <w:color w:val="1F497D" w:themeColor="text2"/>
                <w:sz w:val="24"/>
                <w:szCs w:val="24"/>
              </w:rPr>
            </w:pPr>
          </w:p>
        </w:tc>
      </w:tr>
    </w:tbl>
    <w:p w14:paraId="49F92B06" w14:textId="77777777" w:rsidR="005D0112" w:rsidRDefault="005D0112">
      <w:pPr>
        <w:ind w:left="567" w:right="565"/>
        <w:jc w:val="both"/>
        <w:rPr>
          <w:rFonts w:ascii="Century Gothic" w:hAnsi="Century Gothic" w:cs="Courier New"/>
          <w:b/>
          <w:bCs/>
          <w:color w:val="1F497D" w:themeColor="text2"/>
          <w:sz w:val="24"/>
          <w:szCs w:val="24"/>
        </w:rPr>
      </w:pPr>
    </w:p>
    <w:p w14:paraId="76F44FCE" w14:textId="77777777" w:rsidR="00C077E2" w:rsidRDefault="00C2086C">
      <w:pPr>
        <w:ind w:left="567"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15A68EBF"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 - Riscossione, con sede legale in via Giuseppe Grezar, 14 – 00142 Roma, codice fiscale e partita IVA: 13756881002 è Titolare del trattamento dei dati personali da Lei conferiti. </w:t>
      </w:r>
    </w:p>
    <w:p w14:paraId="31BEE112"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02CD4569"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raccolta ed il trattamento dei </w:t>
      </w:r>
      <w:proofErr w:type="gramStart"/>
      <w:r>
        <w:rPr>
          <w:rFonts w:ascii="Century Gothic" w:hAnsi="Century Gothic" w:cs="Courier New"/>
          <w:color w:val="1F497D" w:themeColor="text2"/>
          <w:sz w:val="24"/>
          <w:szCs w:val="24"/>
        </w:rPr>
        <w:t>predetti</w:t>
      </w:r>
      <w:proofErr w:type="gramEnd"/>
      <w:r>
        <w:rPr>
          <w:rFonts w:ascii="Century Gothic" w:hAnsi="Century Gothic" w:cs="Courier New"/>
          <w:color w:val="1F497D" w:themeColor="text2"/>
          <w:sz w:val="24"/>
          <w:szCs w:val="24"/>
        </w:rPr>
        <w:t xml:space="preserve"> dati personali sono effettuati al solo fine di consentire ad Agenzia di condurre le attività connesse alla consultazione preliminare di mercato avvalendosi della facoltà prevista dall’art. 66 comma 1 del D. Lgs. n. 50/2016. </w:t>
      </w:r>
    </w:p>
    <w:p w14:paraId="17EC86C4"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67FADAD4"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lastRenderedPageBreak/>
        <w:t xml:space="preserve">Il trattamento dei dati avviene anche mediante l’utilizzo di strumenti elettronici, per il tempo e con logiche strettamente correlati alle </w:t>
      </w:r>
      <w:proofErr w:type="gramStart"/>
      <w:r>
        <w:rPr>
          <w:rFonts w:ascii="Century Gothic" w:hAnsi="Century Gothic" w:cs="Courier New"/>
          <w:color w:val="1F497D" w:themeColor="text2"/>
          <w:sz w:val="24"/>
          <w:szCs w:val="24"/>
        </w:rPr>
        <w:t>predette</w:t>
      </w:r>
      <w:proofErr w:type="gramEnd"/>
      <w:r>
        <w:rPr>
          <w:rFonts w:ascii="Century Gothic" w:hAnsi="Century Gothic" w:cs="Courier New"/>
          <w:color w:val="1F497D" w:themeColor="text2"/>
          <w:sz w:val="24"/>
          <w:szCs w:val="24"/>
        </w:rPr>
        <w:t xml:space="preserve"> finalità e comunque in modo da garantirne la sicurezza e la riservatezza, nel rispetto delle previsioni normative, anche europee, in materia di protezione dei dati personali.</w:t>
      </w:r>
    </w:p>
    <w:p w14:paraId="1DA9EEC1"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1B391FA2"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se necessario per le finalità di cui sopra, potranno essere comunicati:</w:t>
      </w:r>
    </w:p>
    <w:p w14:paraId="797F4232"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221B68C9"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108F9ACC"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70324B4A"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547F4527"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318CB8F8"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00C077E2" w:rsidRPr="00AA691F">
          <w:rPr>
            <w:rStyle w:val="Collegamentoipertestuale"/>
            <w:rFonts w:ascii="Century Gothic" w:hAnsi="Century Gothic" w:cs="Courier New"/>
            <w:sz w:val="24"/>
            <w:szCs w:val="24"/>
          </w:rPr>
          <w:t>https://www.agenziaentrateriscossione.gov.it/export/it/Gruppo/Modalita-di-presentazione-istanze.pdf</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i dati di contatto del Titolare del trattamento:</w:t>
      </w:r>
    </w:p>
    <w:p w14:paraId="7EA0C6B9"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w:t>
      </w:r>
      <w:proofErr w:type="spellStart"/>
      <w:r>
        <w:rPr>
          <w:rFonts w:ascii="Century Gothic" w:hAnsi="Century Gothic" w:cs="Courier New"/>
          <w:color w:val="1F497D" w:themeColor="text2"/>
          <w:sz w:val="24"/>
          <w:szCs w:val="24"/>
        </w:rPr>
        <w:t>entrate-Riscossione</w:t>
      </w:r>
      <w:proofErr w:type="spellEnd"/>
      <w:r>
        <w:rPr>
          <w:rFonts w:ascii="Century Gothic" w:hAnsi="Century Gothic" w:cs="Courier New"/>
          <w:color w:val="1F497D" w:themeColor="text2"/>
          <w:sz w:val="24"/>
          <w:szCs w:val="24"/>
        </w:rPr>
        <w:t xml:space="preserve">, Struttura a supporto del Responsabile della protezione dei dati, Via Giuseppe Grezar n. 14 – 00142 Roma oppure l’indirizzo di posta elettronica certificata: </w:t>
      </w:r>
      <w:hyperlink r:id="rId13" w:history="1">
        <w:r w:rsidR="00C077E2" w:rsidRPr="00AA691F">
          <w:rPr>
            <w:rStyle w:val="Collegamentoipertestuale"/>
            <w:rFonts w:ascii="Century Gothic" w:hAnsi="Century Gothic" w:cs="Courier New"/>
            <w:sz w:val="24"/>
            <w:szCs w:val="24"/>
          </w:rPr>
          <w:t>protezione.dati@pec.agenziariscossione.gov.it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14:paraId="78F4B618"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dato di contatto del Responsabile della protezione dei dati è: </w:t>
      </w:r>
      <w:hyperlink r:id="rId14" w:history="1">
        <w:r w:rsidR="00C077E2" w:rsidRPr="00AA691F">
          <w:rPr>
            <w:rStyle w:val="Collegamentoipertestuale"/>
            <w:rFonts w:ascii="Century Gothic" w:hAnsi="Century Gothic" w:cs="Courier New"/>
            <w:sz w:val="24"/>
            <w:szCs w:val="24"/>
          </w:rPr>
          <w:t>dpo@pec.agenziariscossione.gov.it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14:paraId="5EFA9F8B"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4FC775D5"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00C077E2" w:rsidRPr="00AA691F">
          <w:rPr>
            <w:rStyle w:val="Collegamentoipertestuale"/>
            <w:rFonts w:ascii="Century Gothic" w:hAnsi="Century Gothic" w:cs="Courier New"/>
            <w:sz w:val="24"/>
            <w:szCs w:val="24"/>
          </w:rPr>
          <w:t>www.garanteprivacy.it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14:paraId="32003A28" w14:textId="77777777" w:rsidR="005D0112" w:rsidRDefault="00C2086C">
      <w:pPr>
        <w:ind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4DC3D8D6" w14:textId="77777777" w:rsidR="005D0112" w:rsidRDefault="00C2086C">
      <w:pPr>
        <w:rPr>
          <w:rFonts w:ascii="Century Gothic" w:hAnsi="Century Gothic" w:cs="Courier New"/>
          <w:color w:val="1F497D" w:themeColor="text2"/>
          <w:sz w:val="24"/>
          <w:szCs w:val="24"/>
        </w:rPr>
      </w:pPr>
      <w:r>
        <w:br w:type="page"/>
      </w:r>
    </w:p>
    <w:p w14:paraId="6D626E72" w14:textId="77777777" w:rsidR="005D0112" w:rsidRDefault="00C2086C">
      <w:pPr>
        <w:ind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Obiettivo della Consultazione</w:t>
      </w:r>
    </w:p>
    <w:p w14:paraId="7433EA0C" w14:textId="77777777" w:rsidR="005D0112" w:rsidRDefault="00C2086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L’Agenzia, ai sensi dell’art. 66 comma 1 del D. Lgs 50/2016 e in conformità alle Linee Guida dell’ANAC n. 8 del 10 ottobre 2017 “Ricorso a procedure negoziate senza previa pubblicazione di un bando nel caso di forniture e servizi ritenuti infungibili”, nonché delle Linee Guida dell’ANAC n. 14 del 6 marzo 2019 “Indicazioni sulle consultazioni preliminari di mercato”, tramite la presente iniziativa intende:</w:t>
      </w:r>
    </w:p>
    <w:p w14:paraId="06A6B816"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44F0E2DB" w14:textId="77777777" w:rsidR="005D0112" w:rsidRPr="00646C9A" w:rsidRDefault="00C2086C" w:rsidP="00091D16">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conoscere se le licenze </w:t>
      </w:r>
      <w:r w:rsidR="00091D16" w:rsidRPr="00091D16">
        <w:rPr>
          <w:rFonts w:ascii="Century Gothic" w:hAnsi="Century Gothic"/>
          <w:color w:val="1F497D" w:themeColor="text2"/>
          <w:sz w:val="24"/>
          <w:szCs w:val="24"/>
        </w:rPr>
        <w:t xml:space="preserve">software e servizi di manutenzione </w:t>
      </w:r>
      <w:r w:rsidR="00C077E2">
        <w:rPr>
          <w:rFonts w:ascii="Century Gothic" w:hAnsi="Century Gothic"/>
          <w:color w:val="1F497D" w:themeColor="text2"/>
          <w:sz w:val="24"/>
          <w:szCs w:val="24"/>
        </w:rPr>
        <w:t xml:space="preserve">della soluzione </w:t>
      </w:r>
      <w:r w:rsidR="00091D16" w:rsidRPr="00091D16">
        <w:rPr>
          <w:rFonts w:ascii="Century Gothic" w:hAnsi="Century Gothic"/>
          <w:color w:val="1F497D" w:themeColor="text2"/>
          <w:sz w:val="24"/>
          <w:szCs w:val="24"/>
        </w:rPr>
        <w:t>applicativ</w:t>
      </w:r>
      <w:r w:rsidR="00C077E2">
        <w:rPr>
          <w:rFonts w:ascii="Century Gothic" w:hAnsi="Century Gothic"/>
          <w:color w:val="1F497D" w:themeColor="text2"/>
          <w:sz w:val="24"/>
          <w:szCs w:val="24"/>
        </w:rPr>
        <w:t>a</w:t>
      </w:r>
      <w:r w:rsidR="00091D16" w:rsidRPr="00091D16">
        <w:rPr>
          <w:rFonts w:ascii="Century Gothic" w:hAnsi="Century Gothic"/>
          <w:color w:val="1F497D" w:themeColor="text2"/>
          <w:sz w:val="24"/>
          <w:szCs w:val="24"/>
        </w:rPr>
        <w:t xml:space="preserve"> “Easy Telematico Enti” per la gestione del Processo Civile Telematico (PCT)</w:t>
      </w:r>
      <w:r>
        <w:rPr>
          <w:rFonts w:ascii="Century Gothic" w:hAnsi="Century Gothic"/>
          <w:color w:val="1F497D" w:themeColor="text2"/>
          <w:sz w:val="24"/>
          <w:szCs w:val="24"/>
        </w:rPr>
        <w:t>, attualmente in uso, abbiano un mercato di riferimento e le eventuali soluzioni tecniche disponibili, nonché le condizioni di prezzo mediamente praticate;</w:t>
      </w:r>
    </w:p>
    <w:p w14:paraId="683BD49B"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5A583179"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verificare l’esistenza sul mercato di eventuali soluzioni alternative a quella attualmente in uso, aventi caratteristiche e funzionalità analoghe, con la preferenza per sistemi aperti e licenze open, nonché le relative condizioni di prezzo mediamente praticate, al fine di valutarne l’eventuale convenienza rispetto al sistema in uso;</w:t>
      </w:r>
    </w:p>
    <w:p w14:paraId="046ECFC5"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descrivere al meglio le caratteristiche qualitative e tecniche dei prodotti e servizi oggetto di analisi;</w:t>
      </w:r>
    </w:p>
    <w:p w14:paraId="76D748E0" w14:textId="1BFDEBEC" w:rsidR="005D0112" w:rsidRDefault="00C2086C" w:rsidP="00257840">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acquisire ogni ulteriore elemento utile ad effettuare una valutazione comparativa di tipo tecnico ed economico delle </w:t>
      </w:r>
      <w:r w:rsidR="00257840">
        <w:rPr>
          <w:rFonts w:ascii="Century Gothic" w:hAnsi="Century Gothic"/>
          <w:color w:val="1F497D" w:themeColor="text2"/>
          <w:sz w:val="24"/>
          <w:szCs w:val="24"/>
        </w:rPr>
        <w:t xml:space="preserve">possibili </w:t>
      </w:r>
      <w:r>
        <w:rPr>
          <w:rFonts w:ascii="Century Gothic" w:hAnsi="Century Gothic"/>
          <w:color w:val="1F497D" w:themeColor="text2"/>
          <w:sz w:val="24"/>
          <w:szCs w:val="24"/>
        </w:rPr>
        <w:t>soluzioni disponibili sul mercato, ai sensi dell’art. 68 del D.lgs. n. 82/2015 (Codice dell’Amministrazione Digitale) e delle Linee Guida su acquisizione e riuso di software per le pubbliche amministrazioni, adottate da AGID con Determinazione n. 115 del 9 maggio 2019.</w:t>
      </w:r>
    </w:p>
    <w:p w14:paraId="3C13AA71" w14:textId="77777777" w:rsidR="005D0112" w:rsidRDefault="00C2086C">
      <w:pPr>
        <w:rPr>
          <w:rFonts w:ascii="Century Gothic" w:hAnsi="Century Gothic" w:cs="Courier New"/>
          <w:b/>
          <w:bCs/>
          <w:i/>
          <w:color w:val="1F497D" w:themeColor="text2"/>
          <w:sz w:val="24"/>
        </w:rPr>
      </w:pPr>
      <w:r>
        <w:br w:type="page"/>
      </w:r>
    </w:p>
    <w:p w14:paraId="597E8EA3" w14:textId="77777777" w:rsidR="005D0112" w:rsidRPr="00666F6B" w:rsidRDefault="00C2086C">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666F6B">
        <w:rPr>
          <w:rFonts w:ascii="Century Gothic" w:hAnsi="Century Gothic" w:cs="Courier New"/>
          <w:b/>
          <w:bCs/>
          <w:i/>
          <w:color w:val="1F497D" w:themeColor="text2"/>
          <w:sz w:val="24"/>
          <w:szCs w:val="24"/>
        </w:rPr>
        <w:lastRenderedPageBreak/>
        <w:t>Descrizione del fabbisogno</w:t>
      </w:r>
    </w:p>
    <w:p w14:paraId="6732D808" w14:textId="77777777" w:rsidR="00C077E2" w:rsidRDefault="00C077E2" w:rsidP="00091D16">
      <w:pPr>
        <w:tabs>
          <w:tab w:val="left" w:pos="8789"/>
        </w:tabs>
        <w:ind w:left="567" w:right="565" w:firstLine="567"/>
        <w:jc w:val="both"/>
        <w:rPr>
          <w:rFonts w:ascii="Century Gothic" w:hAnsi="Century Gothic"/>
          <w:color w:val="1F497D" w:themeColor="text2"/>
          <w:sz w:val="24"/>
          <w:szCs w:val="24"/>
        </w:rPr>
      </w:pPr>
      <w:r w:rsidRPr="00C077E2">
        <w:rPr>
          <w:rFonts w:ascii="Century Gothic" w:hAnsi="Century Gothic"/>
          <w:color w:val="1F497D" w:themeColor="text2"/>
          <w:sz w:val="24"/>
          <w:szCs w:val="24"/>
        </w:rPr>
        <w:t xml:space="preserve">Con la legge di stabilità 2013, n. 228/12, pubblicata sulla Gazzetta Ufficiale 302/12 ed entrata in vigore il primo gennaio 2013, è stato convertito in legge il D.L. 18/10/2012 N. 179, ed è stata data una forte accelerazione al progressivo abbandono dei documenti cartacei nelle aule di giustizia. </w:t>
      </w:r>
      <w:r>
        <w:rPr>
          <w:rFonts w:ascii="Century Gothic" w:hAnsi="Century Gothic"/>
          <w:color w:val="1F497D" w:themeColor="text2"/>
          <w:sz w:val="24"/>
          <w:szCs w:val="24"/>
        </w:rPr>
        <w:t xml:space="preserve">È </w:t>
      </w:r>
      <w:r w:rsidRPr="00C077E2">
        <w:rPr>
          <w:rFonts w:ascii="Century Gothic" w:hAnsi="Century Gothic"/>
          <w:color w:val="1F497D" w:themeColor="text2"/>
          <w:sz w:val="24"/>
          <w:szCs w:val="24"/>
        </w:rPr>
        <w:t xml:space="preserve">stata anzitutto approvata in via definitiva la norma, introdotta dall’art. 16 del decreto legge, che </w:t>
      </w:r>
      <w:r>
        <w:rPr>
          <w:rFonts w:ascii="Century Gothic" w:hAnsi="Century Gothic"/>
          <w:color w:val="1F497D" w:themeColor="text2"/>
          <w:sz w:val="24"/>
          <w:szCs w:val="24"/>
        </w:rPr>
        <w:t xml:space="preserve">ha </w:t>
      </w:r>
      <w:r w:rsidRPr="00C077E2">
        <w:rPr>
          <w:rFonts w:ascii="Century Gothic" w:hAnsi="Century Gothic"/>
          <w:color w:val="1F497D" w:themeColor="text2"/>
          <w:sz w:val="24"/>
          <w:szCs w:val="24"/>
        </w:rPr>
        <w:t>re</w:t>
      </w:r>
      <w:r>
        <w:rPr>
          <w:rFonts w:ascii="Century Gothic" w:hAnsi="Century Gothic"/>
          <w:color w:val="1F497D" w:themeColor="text2"/>
          <w:sz w:val="24"/>
          <w:szCs w:val="24"/>
        </w:rPr>
        <w:t>so</w:t>
      </w:r>
      <w:r w:rsidRPr="00C077E2">
        <w:rPr>
          <w:rFonts w:ascii="Century Gothic" w:hAnsi="Century Gothic"/>
          <w:color w:val="1F497D" w:themeColor="text2"/>
          <w:sz w:val="24"/>
          <w:szCs w:val="24"/>
        </w:rPr>
        <w:t xml:space="preserve"> obbligatorie le comunicazioni ex art. 136 c.p.c. via PEC e, in sede di conversione, è stato aggiunto l’art. 16 bis che prevede</w:t>
      </w:r>
      <w:r>
        <w:rPr>
          <w:rFonts w:ascii="Century Gothic" w:hAnsi="Century Gothic"/>
          <w:color w:val="1F497D" w:themeColor="text2"/>
          <w:sz w:val="24"/>
          <w:szCs w:val="24"/>
        </w:rPr>
        <w:t>va</w:t>
      </w:r>
      <w:r w:rsidRPr="00C077E2">
        <w:rPr>
          <w:rFonts w:ascii="Century Gothic" w:hAnsi="Century Gothic"/>
          <w:color w:val="1F497D" w:themeColor="text2"/>
          <w:sz w:val="24"/>
          <w:szCs w:val="24"/>
        </w:rPr>
        <w:t>, a partire dal 30 giugno 2014, che in tutti i procedimenti civili, contenziosi o di volontaria giurisdizione, di competenza del Tribunale, il deposito di atti processuali e documenti dei difensori delle parti già costituite sarà effettuato esclusivamente in modo telematico. Analogamente per il deposito degli atti e dei documenti provenienti dai soggetti nominati o delegati dall’Autorità giudiziaria.</w:t>
      </w:r>
    </w:p>
    <w:p w14:paraId="24969C6D" w14:textId="77777777" w:rsidR="00C077E2" w:rsidRPr="00577935" w:rsidRDefault="00C077E2" w:rsidP="00C077E2">
      <w:pPr>
        <w:ind w:left="567" w:right="565" w:firstLine="567"/>
        <w:jc w:val="both"/>
        <w:rPr>
          <w:rFonts w:ascii="Century Gothic" w:hAnsi="Century Gothic" w:cs="Courier New"/>
          <w:color w:val="1F497D" w:themeColor="text2"/>
          <w:sz w:val="24"/>
        </w:rPr>
      </w:pPr>
      <w:r w:rsidRPr="00577935">
        <w:rPr>
          <w:rFonts w:ascii="Century Gothic" w:hAnsi="Century Gothic" w:cs="Courier New"/>
          <w:color w:val="1F497D" w:themeColor="text2"/>
          <w:sz w:val="24"/>
        </w:rPr>
        <w:t xml:space="preserve">Agenzia delle entrate–Riscossione </w:t>
      </w:r>
      <w:r>
        <w:rPr>
          <w:rFonts w:ascii="Century Gothic" w:hAnsi="Century Gothic" w:cs="Courier New"/>
          <w:color w:val="1F497D" w:themeColor="text2"/>
          <w:sz w:val="24"/>
        </w:rPr>
        <w:t xml:space="preserve">avrà </w:t>
      </w:r>
      <w:r w:rsidR="006B7979">
        <w:rPr>
          <w:rFonts w:ascii="Century Gothic" w:hAnsi="Century Gothic" w:cs="Courier New"/>
          <w:color w:val="1F497D" w:themeColor="text2"/>
          <w:sz w:val="24"/>
        </w:rPr>
        <w:t xml:space="preserve">anche </w:t>
      </w:r>
      <w:r>
        <w:rPr>
          <w:rFonts w:ascii="Century Gothic" w:hAnsi="Century Gothic" w:cs="Courier New"/>
          <w:color w:val="1F497D" w:themeColor="text2"/>
          <w:sz w:val="24"/>
        </w:rPr>
        <w:t xml:space="preserve">per il prossimo futuro </w:t>
      </w:r>
      <w:r w:rsidRPr="00577935">
        <w:rPr>
          <w:rFonts w:ascii="Century Gothic" w:hAnsi="Century Gothic" w:cs="Courier New"/>
          <w:color w:val="1F497D" w:themeColor="text2"/>
          <w:sz w:val="24"/>
        </w:rPr>
        <w:t xml:space="preserve">l’esigenza di </w:t>
      </w:r>
      <w:r>
        <w:rPr>
          <w:rFonts w:ascii="Century Gothic" w:hAnsi="Century Gothic" w:cs="Courier New"/>
          <w:color w:val="1F497D" w:themeColor="text2"/>
          <w:sz w:val="24"/>
        </w:rPr>
        <w:t xml:space="preserve">utilizzare una soluzione </w:t>
      </w:r>
      <w:r w:rsidRPr="00577935">
        <w:rPr>
          <w:rFonts w:ascii="Century Gothic" w:hAnsi="Century Gothic" w:cs="Courier New"/>
          <w:color w:val="1F497D" w:themeColor="text2"/>
          <w:sz w:val="24"/>
        </w:rPr>
        <w:t>software per la gestione</w:t>
      </w:r>
      <w:r w:rsidR="00CF1FA7">
        <w:rPr>
          <w:rFonts w:ascii="Century Gothic" w:hAnsi="Century Gothic" w:cs="Courier New"/>
          <w:color w:val="1F497D" w:themeColor="text2"/>
          <w:sz w:val="24"/>
        </w:rPr>
        <w:t xml:space="preserve">, secondo la normativa richiamata, </w:t>
      </w:r>
      <w:r w:rsidR="00902241" w:rsidRPr="00902241">
        <w:rPr>
          <w:rFonts w:ascii="Century Gothic" w:hAnsi="Century Gothic" w:cs="Courier New"/>
          <w:color w:val="1F497D" w:themeColor="text2"/>
          <w:sz w:val="24"/>
        </w:rPr>
        <w:t>della relazione con il sistema del Processo Civile Telematico del Ministero di Giustizia</w:t>
      </w:r>
      <w:r>
        <w:rPr>
          <w:rFonts w:ascii="Century Gothic" w:hAnsi="Century Gothic" w:cs="Courier New"/>
          <w:color w:val="1F497D" w:themeColor="text2"/>
          <w:sz w:val="24"/>
        </w:rPr>
        <w:t>.</w:t>
      </w:r>
    </w:p>
    <w:p w14:paraId="40FBBC31" w14:textId="1B6506D3" w:rsidR="006B7979" w:rsidRDefault="00091D16" w:rsidP="00091D16">
      <w:pPr>
        <w:tabs>
          <w:tab w:val="left" w:pos="8789"/>
        </w:tabs>
        <w:ind w:left="567" w:right="565" w:firstLine="567"/>
        <w:jc w:val="both"/>
        <w:rPr>
          <w:rFonts w:ascii="Century Gothic" w:hAnsi="Century Gothic"/>
          <w:color w:val="1F497D" w:themeColor="text2"/>
          <w:sz w:val="24"/>
          <w:szCs w:val="24"/>
        </w:rPr>
      </w:pPr>
      <w:r w:rsidRPr="00FD1416">
        <w:rPr>
          <w:rFonts w:ascii="Century Gothic" w:hAnsi="Century Gothic"/>
          <w:color w:val="1F497D" w:themeColor="text2"/>
          <w:sz w:val="24"/>
          <w:szCs w:val="24"/>
        </w:rPr>
        <w:t xml:space="preserve">L’applicazione </w:t>
      </w:r>
      <w:r w:rsidR="00EC2B63" w:rsidRPr="00FD1416">
        <w:rPr>
          <w:rFonts w:ascii="Century Gothic" w:hAnsi="Century Gothic"/>
          <w:color w:val="1F497D" w:themeColor="text2"/>
          <w:sz w:val="24"/>
          <w:szCs w:val="24"/>
        </w:rPr>
        <w:t>viene</w:t>
      </w:r>
      <w:r w:rsidRPr="00FD1416">
        <w:rPr>
          <w:rFonts w:ascii="Century Gothic" w:hAnsi="Century Gothic"/>
          <w:color w:val="1F497D" w:themeColor="text2"/>
          <w:sz w:val="24"/>
          <w:szCs w:val="24"/>
        </w:rPr>
        <w:t xml:space="preserve"> utilizzata da circa 600 utenti su tutto il territorio nazionale</w:t>
      </w:r>
      <w:r w:rsidR="006B7979" w:rsidRPr="00FD1416">
        <w:rPr>
          <w:rFonts w:ascii="Century Gothic" w:hAnsi="Century Gothic"/>
          <w:color w:val="1F497D" w:themeColor="text2"/>
          <w:sz w:val="24"/>
          <w:szCs w:val="24"/>
        </w:rPr>
        <w:t>, con una contemporaneità nell’uso di circa 200.</w:t>
      </w:r>
      <w:r w:rsidR="00EC2B63" w:rsidRPr="00FD1416">
        <w:rPr>
          <w:rFonts w:ascii="Century Gothic" w:hAnsi="Century Gothic"/>
          <w:color w:val="1F497D" w:themeColor="text2"/>
          <w:sz w:val="24"/>
          <w:szCs w:val="24"/>
        </w:rPr>
        <w:t xml:space="preserve"> Si prevede che sia la numerosità degli utenti sia la contemporaneità d’uso non venga modificata per il prossimo </w:t>
      </w:r>
      <w:r w:rsidR="00257840" w:rsidRPr="00FD1416">
        <w:rPr>
          <w:rFonts w:ascii="Century Gothic" w:hAnsi="Century Gothic"/>
          <w:color w:val="1F497D" w:themeColor="text2"/>
          <w:sz w:val="24"/>
          <w:szCs w:val="24"/>
        </w:rPr>
        <w:t xml:space="preserve">periodo </w:t>
      </w:r>
      <w:r w:rsidR="000D3841">
        <w:rPr>
          <w:rFonts w:ascii="Century Gothic" w:hAnsi="Century Gothic"/>
          <w:color w:val="1F497D" w:themeColor="text2"/>
          <w:sz w:val="24"/>
          <w:szCs w:val="24"/>
        </w:rPr>
        <w:t xml:space="preserve">annuale </w:t>
      </w:r>
      <w:r w:rsidR="00257840" w:rsidRPr="00FD1416">
        <w:rPr>
          <w:rFonts w:ascii="Century Gothic" w:hAnsi="Century Gothic"/>
          <w:color w:val="1F497D" w:themeColor="text2"/>
          <w:sz w:val="24"/>
          <w:szCs w:val="24"/>
        </w:rPr>
        <w:t>di utilizzo</w:t>
      </w:r>
      <w:r w:rsidR="00EC2B63" w:rsidRPr="00FD1416">
        <w:rPr>
          <w:rFonts w:ascii="Century Gothic" w:hAnsi="Century Gothic"/>
          <w:color w:val="1F497D" w:themeColor="text2"/>
          <w:sz w:val="24"/>
          <w:szCs w:val="24"/>
        </w:rPr>
        <w:t>.</w:t>
      </w:r>
    </w:p>
    <w:p w14:paraId="146F7F4B" w14:textId="7A6A80BD" w:rsidR="00ED7389" w:rsidRPr="00677805" w:rsidRDefault="00500DDB" w:rsidP="004E087D">
      <w:pPr>
        <w:ind w:left="567" w:right="565" w:firstLine="567"/>
        <w:jc w:val="both"/>
        <w:rPr>
          <w:rFonts w:ascii="Century Gothic" w:hAnsi="Century Gothic"/>
          <w:color w:val="1F497D" w:themeColor="text2"/>
          <w:sz w:val="24"/>
          <w:szCs w:val="24"/>
        </w:rPr>
      </w:pPr>
      <w:r w:rsidRPr="00577935">
        <w:rPr>
          <w:rFonts w:ascii="Century Gothic" w:hAnsi="Century Gothic" w:cs="Courier New"/>
          <w:color w:val="1F497D" w:themeColor="text2"/>
          <w:sz w:val="24"/>
        </w:rPr>
        <w:t xml:space="preserve">Il fabbisogno è </w:t>
      </w:r>
      <w:r>
        <w:rPr>
          <w:rFonts w:ascii="Century Gothic" w:hAnsi="Century Gothic" w:cs="Courier New"/>
          <w:color w:val="1F497D" w:themeColor="text2"/>
          <w:sz w:val="24"/>
        </w:rPr>
        <w:t xml:space="preserve">quindi </w:t>
      </w:r>
      <w:r w:rsidRPr="00577935">
        <w:rPr>
          <w:rFonts w:ascii="Century Gothic" w:hAnsi="Century Gothic" w:cs="Courier New"/>
          <w:color w:val="1F497D" w:themeColor="text2"/>
          <w:sz w:val="24"/>
        </w:rPr>
        <w:t xml:space="preserve">rappresentato dalle licenze software per l’utilizzo di una </w:t>
      </w:r>
      <w:r>
        <w:rPr>
          <w:rFonts w:ascii="Century Gothic" w:hAnsi="Century Gothic" w:cs="Courier New"/>
          <w:color w:val="1F497D" w:themeColor="text2"/>
          <w:sz w:val="24"/>
        </w:rPr>
        <w:t>soluzione</w:t>
      </w:r>
      <w:r w:rsidRPr="00577935">
        <w:rPr>
          <w:rFonts w:ascii="Century Gothic" w:hAnsi="Century Gothic" w:cs="Courier New"/>
          <w:color w:val="1F497D" w:themeColor="text2"/>
          <w:sz w:val="24"/>
        </w:rPr>
        <w:t xml:space="preserve">, utilizzabile per almeno </w:t>
      </w:r>
      <w:r w:rsidRPr="00091D16">
        <w:rPr>
          <w:rFonts w:ascii="Century Gothic" w:hAnsi="Century Gothic"/>
          <w:color w:val="1F497D" w:themeColor="text2"/>
          <w:sz w:val="24"/>
          <w:szCs w:val="24"/>
        </w:rPr>
        <w:t xml:space="preserve">600 utenti </w:t>
      </w:r>
      <w:r w:rsidRPr="00577935">
        <w:rPr>
          <w:rFonts w:ascii="Century Gothic" w:hAnsi="Century Gothic" w:cs="Courier New"/>
          <w:color w:val="1F497D" w:themeColor="text2"/>
          <w:sz w:val="24"/>
        </w:rPr>
        <w:t>dislocat</w:t>
      </w:r>
      <w:r>
        <w:rPr>
          <w:rFonts w:ascii="Century Gothic" w:hAnsi="Century Gothic" w:cs="Courier New"/>
          <w:color w:val="1F497D" w:themeColor="text2"/>
          <w:sz w:val="24"/>
        </w:rPr>
        <w:t>i</w:t>
      </w:r>
      <w:r w:rsidRPr="00577935">
        <w:rPr>
          <w:rFonts w:ascii="Century Gothic" w:hAnsi="Century Gothic" w:cs="Courier New"/>
          <w:color w:val="1F497D" w:themeColor="text2"/>
          <w:sz w:val="24"/>
        </w:rPr>
        <w:t xml:space="preserve"> sull’intero territorio nazionale</w:t>
      </w:r>
      <w:r>
        <w:rPr>
          <w:rFonts w:ascii="Century Gothic" w:hAnsi="Century Gothic"/>
          <w:color w:val="1F497D" w:themeColor="text2"/>
          <w:sz w:val="24"/>
          <w:szCs w:val="24"/>
        </w:rPr>
        <w:t xml:space="preserve"> di cui 200</w:t>
      </w:r>
      <w:r w:rsidRPr="00500DDB">
        <w:rPr>
          <w:rFonts w:ascii="Century Gothic" w:hAnsi="Century Gothic"/>
          <w:color w:val="1F497D" w:themeColor="text2"/>
          <w:sz w:val="24"/>
          <w:szCs w:val="24"/>
        </w:rPr>
        <w:t xml:space="preserve"> </w:t>
      </w:r>
      <w:r w:rsidRPr="00091D16">
        <w:rPr>
          <w:rFonts w:ascii="Century Gothic" w:hAnsi="Century Gothic"/>
          <w:color w:val="1F497D" w:themeColor="text2"/>
          <w:sz w:val="24"/>
          <w:szCs w:val="24"/>
        </w:rPr>
        <w:t>contemporanei</w:t>
      </w:r>
      <w:r>
        <w:rPr>
          <w:rFonts w:ascii="Century Gothic" w:hAnsi="Century Gothic"/>
          <w:color w:val="1F497D" w:themeColor="text2"/>
          <w:sz w:val="24"/>
          <w:szCs w:val="24"/>
        </w:rPr>
        <w:t>, per un</w:t>
      </w:r>
      <w:r w:rsidR="00257840">
        <w:rPr>
          <w:rFonts w:ascii="Century Gothic" w:hAnsi="Century Gothic"/>
          <w:color w:val="1F497D" w:themeColor="text2"/>
          <w:sz w:val="24"/>
          <w:szCs w:val="24"/>
        </w:rPr>
        <w:t>a annualità</w:t>
      </w:r>
      <w:r>
        <w:rPr>
          <w:rFonts w:ascii="Century Gothic" w:hAnsi="Century Gothic"/>
          <w:color w:val="1F497D" w:themeColor="text2"/>
          <w:sz w:val="24"/>
          <w:szCs w:val="24"/>
        </w:rPr>
        <w:t xml:space="preserve"> che garantisca </w:t>
      </w:r>
      <w:r>
        <w:rPr>
          <w:rFonts w:ascii="Century Gothic" w:hAnsi="Century Gothic"/>
          <w:bCs/>
          <w:iCs/>
          <w:color w:val="1F497D" w:themeColor="text2"/>
          <w:sz w:val="24"/>
          <w:szCs w:val="24"/>
        </w:rPr>
        <w:t>la</w:t>
      </w:r>
      <w:r w:rsidRPr="00421033">
        <w:rPr>
          <w:rFonts w:ascii="Century Gothic" w:hAnsi="Century Gothic"/>
          <w:bCs/>
          <w:iCs/>
          <w:color w:val="1F497D" w:themeColor="text2"/>
          <w:sz w:val="24"/>
          <w:szCs w:val="24"/>
        </w:rPr>
        <w:t xml:space="preserve"> gesti</w:t>
      </w:r>
      <w:r>
        <w:rPr>
          <w:rFonts w:ascii="Century Gothic" w:hAnsi="Century Gothic"/>
          <w:bCs/>
          <w:iCs/>
          <w:color w:val="1F497D" w:themeColor="text2"/>
          <w:sz w:val="24"/>
          <w:szCs w:val="24"/>
        </w:rPr>
        <w:t>one</w:t>
      </w:r>
      <w:r w:rsidRPr="00421033">
        <w:rPr>
          <w:rFonts w:ascii="Century Gothic" w:hAnsi="Century Gothic"/>
          <w:bCs/>
          <w:iCs/>
          <w:color w:val="1F497D" w:themeColor="text2"/>
          <w:sz w:val="24"/>
          <w:szCs w:val="24"/>
        </w:rPr>
        <w:t xml:space="preserve"> </w:t>
      </w:r>
      <w:r>
        <w:rPr>
          <w:rFonts w:ascii="Century Gothic" w:hAnsi="Century Gothic"/>
          <w:bCs/>
          <w:iCs/>
          <w:color w:val="1F497D" w:themeColor="text2"/>
          <w:sz w:val="24"/>
          <w:szCs w:val="24"/>
        </w:rPr>
        <w:t>de</w:t>
      </w:r>
      <w:r w:rsidRPr="00421033">
        <w:rPr>
          <w:rFonts w:ascii="Century Gothic" w:hAnsi="Century Gothic"/>
          <w:bCs/>
          <w:iCs/>
          <w:color w:val="1F497D" w:themeColor="text2"/>
          <w:sz w:val="24"/>
          <w:szCs w:val="24"/>
        </w:rPr>
        <w:t>i processi aziendali delle funzioni organizzative dell</w:t>
      </w:r>
      <w:r>
        <w:rPr>
          <w:rFonts w:ascii="Century Gothic" w:hAnsi="Century Gothic"/>
          <w:bCs/>
          <w:iCs/>
          <w:color w:val="1F497D" w:themeColor="text2"/>
          <w:sz w:val="24"/>
          <w:szCs w:val="24"/>
        </w:rPr>
        <w:t>’</w:t>
      </w:r>
      <w:r w:rsidRPr="00421033">
        <w:rPr>
          <w:rFonts w:ascii="Century Gothic" w:hAnsi="Century Gothic"/>
          <w:color w:val="1F497D" w:themeColor="text2"/>
          <w:sz w:val="24"/>
          <w:szCs w:val="24"/>
        </w:rPr>
        <w:t>Agenzia</w:t>
      </w:r>
      <w:r w:rsidRPr="00421033">
        <w:rPr>
          <w:rFonts w:ascii="Century Gothic" w:hAnsi="Century Gothic"/>
          <w:bCs/>
          <w:iCs/>
          <w:color w:val="1F497D" w:themeColor="text2"/>
          <w:sz w:val="24"/>
          <w:szCs w:val="24"/>
        </w:rPr>
        <w:t xml:space="preserve"> chiamate alla gestione del Contenzioso, in ordine alla gestione della relazione con il sistema del Processo Civile Telematico del Ministero di Giustizia, nonché quelli necessari alla formazione dei relativi utenti</w:t>
      </w:r>
      <w:r>
        <w:rPr>
          <w:rFonts w:ascii="Century Gothic" w:hAnsi="Century Gothic"/>
          <w:bCs/>
          <w:iCs/>
          <w:color w:val="1F497D" w:themeColor="text2"/>
          <w:sz w:val="24"/>
          <w:szCs w:val="24"/>
        </w:rPr>
        <w:t>.</w:t>
      </w:r>
      <w:r w:rsidR="00ED7389">
        <w:rPr>
          <w:rFonts w:ascii="Century Gothic" w:hAnsi="Century Gothic"/>
          <w:bCs/>
          <w:iCs/>
          <w:color w:val="1F497D" w:themeColor="text2"/>
          <w:sz w:val="24"/>
          <w:szCs w:val="24"/>
        </w:rPr>
        <w:t xml:space="preserve"> </w:t>
      </w:r>
      <w:r w:rsidR="00ED7389" w:rsidRPr="00677805">
        <w:rPr>
          <w:rFonts w:ascii="Century Gothic" w:hAnsi="Century Gothic"/>
          <w:color w:val="1F497D" w:themeColor="text2"/>
          <w:sz w:val="24"/>
          <w:szCs w:val="24"/>
        </w:rPr>
        <w:t xml:space="preserve">In particolare, </w:t>
      </w:r>
      <w:r w:rsidR="00ED7389">
        <w:rPr>
          <w:rFonts w:ascii="Century Gothic" w:hAnsi="Century Gothic"/>
          <w:color w:val="1F497D" w:themeColor="text2"/>
          <w:sz w:val="24"/>
          <w:szCs w:val="24"/>
        </w:rPr>
        <w:t>la</w:t>
      </w:r>
      <w:r w:rsidR="00ED7389" w:rsidRPr="00677805">
        <w:rPr>
          <w:rFonts w:ascii="Century Gothic" w:hAnsi="Century Gothic"/>
          <w:color w:val="1F497D" w:themeColor="text2"/>
          <w:sz w:val="24"/>
          <w:szCs w:val="24"/>
        </w:rPr>
        <w:t xml:space="preserve"> soluzione </w:t>
      </w:r>
      <w:r w:rsidR="00ED7389">
        <w:rPr>
          <w:rFonts w:ascii="Century Gothic" w:hAnsi="Century Gothic"/>
          <w:color w:val="1F497D" w:themeColor="text2"/>
          <w:sz w:val="24"/>
          <w:szCs w:val="24"/>
        </w:rPr>
        <w:t>deve</w:t>
      </w:r>
      <w:r w:rsidR="00ED7389" w:rsidRPr="00677805">
        <w:rPr>
          <w:rFonts w:ascii="Century Gothic" w:hAnsi="Century Gothic"/>
          <w:color w:val="1F497D" w:themeColor="text2"/>
          <w:sz w:val="24"/>
          <w:szCs w:val="24"/>
        </w:rPr>
        <w:t xml:space="preserve"> consent</w:t>
      </w:r>
      <w:r w:rsidR="00ED7389">
        <w:rPr>
          <w:rFonts w:ascii="Century Gothic" w:hAnsi="Century Gothic"/>
          <w:color w:val="1F497D" w:themeColor="text2"/>
          <w:sz w:val="24"/>
          <w:szCs w:val="24"/>
        </w:rPr>
        <w:t>ire</w:t>
      </w:r>
      <w:r w:rsidR="00ED7389" w:rsidRPr="00677805">
        <w:rPr>
          <w:rFonts w:ascii="Century Gothic" w:hAnsi="Century Gothic"/>
          <w:color w:val="1F497D" w:themeColor="text2"/>
          <w:sz w:val="24"/>
          <w:szCs w:val="24"/>
        </w:rPr>
        <w:t xml:space="preserve"> alle apposite strutture organizzative di: </w:t>
      </w:r>
    </w:p>
    <w:p w14:paraId="14730B68" w14:textId="77777777" w:rsidR="00ED7389" w:rsidRPr="002A4350" w:rsidRDefault="00ED7389" w:rsidP="00ED7389">
      <w:pPr>
        <w:pStyle w:val="Paragrafoelenco"/>
        <w:numPr>
          <w:ilvl w:val="0"/>
          <w:numId w:val="12"/>
        </w:numPr>
        <w:tabs>
          <w:tab w:val="left" w:pos="8789"/>
        </w:tabs>
        <w:ind w:right="565"/>
        <w:jc w:val="both"/>
        <w:rPr>
          <w:rFonts w:ascii="Century Gothic" w:hAnsi="Century Gothic"/>
          <w:color w:val="1F497D" w:themeColor="text2"/>
          <w:sz w:val="24"/>
          <w:szCs w:val="24"/>
        </w:rPr>
      </w:pPr>
      <w:r w:rsidRPr="002A4350">
        <w:rPr>
          <w:rFonts w:ascii="Century Gothic" w:hAnsi="Century Gothic"/>
          <w:color w:val="1F497D" w:themeColor="text2"/>
          <w:sz w:val="24"/>
          <w:szCs w:val="24"/>
        </w:rPr>
        <w:t xml:space="preserve">eseguire depositi di atti legali presso gli Uffici Giudiziari abilitati al PCT (Processo Civile Telematico) e monitorarne gli esiti; </w:t>
      </w:r>
    </w:p>
    <w:p w14:paraId="1C89603D" w14:textId="77777777" w:rsidR="00ED7389" w:rsidRPr="002A4350" w:rsidRDefault="00ED7389" w:rsidP="00ED7389">
      <w:pPr>
        <w:pStyle w:val="Paragrafoelenco"/>
        <w:numPr>
          <w:ilvl w:val="0"/>
          <w:numId w:val="12"/>
        </w:numPr>
        <w:tabs>
          <w:tab w:val="left" w:pos="8789"/>
        </w:tabs>
        <w:ind w:right="565"/>
        <w:jc w:val="both"/>
        <w:rPr>
          <w:rFonts w:ascii="Century Gothic" w:hAnsi="Century Gothic"/>
          <w:color w:val="1F497D" w:themeColor="text2"/>
          <w:sz w:val="24"/>
          <w:szCs w:val="24"/>
        </w:rPr>
      </w:pPr>
      <w:r w:rsidRPr="002A4350">
        <w:rPr>
          <w:rFonts w:ascii="Century Gothic" w:hAnsi="Century Gothic"/>
          <w:color w:val="1F497D" w:themeColor="text2"/>
          <w:sz w:val="24"/>
          <w:szCs w:val="24"/>
        </w:rPr>
        <w:t>richiedere e ricevere copia degli atti legali depositati e ricevuti dagli Uffici Giudiziari;</w:t>
      </w:r>
    </w:p>
    <w:p w14:paraId="5D3DB443" w14:textId="77777777" w:rsidR="00ED7389" w:rsidRPr="002A4350" w:rsidRDefault="00ED7389" w:rsidP="00ED7389">
      <w:pPr>
        <w:pStyle w:val="Paragrafoelenco"/>
        <w:numPr>
          <w:ilvl w:val="0"/>
          <w:numId w:val="12"/>
        </w:numPr>
        <w:tabs>
          <w:tab w:val="left" w:pos="8789"/>
        </w:tabs>
        <w:ind w:right="565"/>
        <w:jc w:val="both"/>
        <w:rPr>
          <w:rFonts w:ascii="Century Gothic" w:hAnsi="Century Gothic"/>
          <w:color w:val="1F497D" w:themeColor="text2"/>
          <w:sz w:val="24"/>
          <w:szCs w:val="24"/>
        </w:rPr>
      </w:pPr>
      <w:r w:rsidRPr="002A4350">
        <w:rPr>
          <w:rFonts w:ascii="Century Gothic" w:hAnsi="Century Gothic"/>
          <w:color w:val="1F497D" w:themeColor="text2"/>
          <w:sz w:val="24"/>
          <w:szCs w:val="24"/>
        </w:rPr>
        <w:lastRenderedPageBreak/>
        <w:t xml:space="preserve">consultare le comunicazioni di cancelleria pervenute dagli Uffici Giudiziari (atti e biglietti di cancelleria); </w:t>
      </w:r>
    </w:p>
    <w:p w14:paraId="23395FB5" w14:textId="77777777" w:rsidR="00ED7389" w:rsidRPr="002A4350" w:rsidRDefault="00ED7389" w:rsidP="00ED7389">
      <w:pPr>
        <w:pStyle w:val="Paragrafoelenco"/>
        <w:numPr>
          <w:ilvl w:val="0"/>
          <w:numId w:val="12"/>
        </w:numPr>
        <w:tabs>
          <w:tab w:val="left" w:pos="8789"/>
        </w:tabs>
        <w:ind w:right="565"/>
        <w:jc w:val="both"/>
        <w:rPr>
          <w:rFonts w:ascii="Century Gothic" w:hAnsi="Century Gothic"/>
          <w:color w:val="1F497D" w:themeColor="text2"/>
          <w:sz w:val="24"/>
          <w:szCs w:val="24"/>
        </w:rPr>
      </w:pPr>
      <w:r w:rsidRPr="002A4350">
        <w:rPr>
          <w:rFonts w:ascii="Century Gothic" w:hAnsi="Century Gothic"/>
          <w:color w:val="1F497D" w:themeColor="text2"/>
          <w:sz w:val="24"/>
          <w:szCs w:val="24"/>
        </w:rPr>
        <w:t>consultare le informazioni dei fascicoli dei Sistemi dei Registri delle cancellerie;</w:t>
      </w:r>
    </w:p>
    <w:p w14:paraId="6B1975C6" w14:textId="77777777" w:rsidR="00ED7389" w:rsidRPr="002A4350" w:rsidRDefault="00ED7389" w:rsidP="00ED7389">
      <w:pPr>
        <w:pStyle w:val="Paragrafoelenco"/>
        <w:numPr>
          <w:ilvl w:val="0"/>
          <w:numId w:val="12"/>
        </w:numPr>
        <w:tabs>
          <w:tab w:val="left" w:pos="8789"/>
        </w:tabs>
        <w:ind w:right="565"/>
        <w:jc w:val="both"/>
        <w:rPr>
          <w:rFonts w:ascii="Century Gothic" w:hAnsi="Century Gothic"/>
          <w:color w:val="1F497D" w:themeColor="text2"/>
          <w:sz w:val="24"/>
          <w:szCs w:val="24"/>
        </w:rPr>
      </w:pPr>
      <w:r w:rsidRPr="002A4350">
        <w:rPr>
          <w:rFonts w:ascii="Century Gothic" w:hAnsi="Century Gothic"/>
          <w:color w:val="1F497D" w:themeColor="text2"/>
          <w:sz w:val="24"/>
          <w:szCs w:val="24"/>
        </w:rPr>
        <w:t>produrre la busta di e-</w:t>
      </w:r>
      <w:proofErr w:type="spellStart"/>
      <w:r w:rsidRPr="002A4350">
        <w:rPr>
          <w:rFonts w:ascii="Century Gothic" w:hAnsi="Century Gothic"/>
          <w:color w:val="1F497D" w:themeColor="text2"/>
          <w:sz w:val="24"/>
          <w:szCs w:val="24"/>
        </w:rPr>
        <w:t>gov</w:t>
      </w:r>
      <w:proofErr w:type="spellEnd"/>
      <w:r w:rsidRPr="002A4350">
        <w:rPr>
          <w:rFonts w:ascii="Century Gothic" w:hAnsi="Century Gothic"/>
          <w:color w:val="1F497D" w:themeColor="text2"/>
          <w:sz w:val="24"/>
          <w:szCs w:val="24"/>
        </w:rPr>
        <w:t xml:space="preserve"> contenente i documenti da allegare al deposito ed inviarla in modo telematico alla cancelleria secondo le modalità previste dalla normativa.</w:t>
      </w:r>
    </w:p>
    <w:p w14:paraId="4AC810A9" w14:textId="61693D74" w:rsidR="00EA00D1" w:rsidRPr="004E087D" w:rsidRDefault="00ED7389" w:rsidP="00091D16">
      <w:pPr>
        <w:tabs>
          <w:tab w:val="left" w:pos="8789"/>
        </w:tabs>
        <w:ind w:left="567" w:right="565" w:firstLine="567"/>
        <w:jc w:val="both"/>
        <w:rPr>
          <w:rFonts w:ascii="Century Gothic" w:hAnsi="Century Gothic"/>
          <w:color w:val="1F497D" w:themeColor="text2"/>
          <w:sz w:val="24"/>
          <w:szCs w:val="24"/>
        </w:rPr>
      </w:pPr>
      <w:r w:rsidRPr="004E087D">
        <w:rPr>
          <w:rFonts w:ascii="Century Gothic" w:hAnsi="Century Gothic"/>
          <w:color w:val="1F497D" w:themeColor="text2"/>
          <w:sz w:val="24"/>
          <w:szCs w:val="24"/>
        </w:rPr>
        <w:t>È</w:t>
      </w:r>
      <w:r w:rsidR="00091D16" w:rsidRPr="004E087D">
        <w:rPr>
          <w:rFonts w:ascii="Century Gothic" w:hAnsi="Century Gothic"/>
          <w:color w:val="1F497D" w:themeColor="text2"/>
          <w:sz w:val="24"/>
          <w:szCs w:val="24"/>
        </w:rPr>
        <w:t xml:space="preserve"> </w:t>
      </w:r>
      <w:r w:rsidRPr="004E087D">
        <w:rPr>
          <w:rFonts w:ascii="Century Gothic" w:hAnsi="Century Gothic"/>
          <w:color w:val="1F497D" w:themeColor="text2"/>
          <w:sz w:val="24"/>
          <w:szCs w:val="24"/>
        </w:rPr>
        <w:t>inoltre da prevedere la gestione delle</w:t>
      </w:r>
      <w:r w:rsidR="00091D16" w:rsidRPr="004E087D">
        <w:rPr>
          <w:rFonts w:ascii="Century Gothic" w:hAnsi="Century Gothic"/>
          <w:color w:val="1F497D" w:themeColor="text2"/>
          <w:sz w:val="24"/>
          <w:szCs w:val="24"/>
        </w:rPr>
        <w:t xml:space="preserve"> </w:t>
      </w:r>
      <w:r w:rsidR="0065067B">
        <w:rPr>
          <w:rFonts w:ascii="Century Gothic" w:hAnsi="Century Gothic"/>
          <w:color w:val="1F497D" w:themeColor="text2"/>
          <w:sz w:val="24"/>
          <w:szCs w:val="24"/>
        </w:rPr>
        <w:t xml:space="preserve">eventuali </w:t>
      </w:r>
      <w:r w:rsidR="00091D16" w:rsidRPr="004E087D">
        <w:rPr>
          <w:rFonts w:ascii="Century Gothic" w:hAnsi="Century Gothic"/>
          <w:color w:val="1F497D" w:themeColor="text2"/>
          <w:sz w:val="24"/>
          <w:szCs w:val="24"/>
        </w:rPr>
        <w:t xml:space="preserve">nuove esigenze di carattere normativo </w:t>
      </w:r>
      <w:r w:rsidRPr="004E087D">
        <w:rPr>
          <w:rFonts w:ascii="Century Gothic" w:hAnsi="Century Gothic"/>
          <w:color w:val="1F497D" w:themeColor="text2"/>
          <w:sz w:val="24"/>
          <w:szCs w:val="24"/>
        </w:rPr>
        <w:t>e</w:t>
      </w:r>
      <w:r w:rsidR="00091D16" w:rsidRPr="004E087D">
        <w:rPr>
          <w:rFonts w:ascii="Century Gothic" w:hAnsi="Century Gothic"/>
          <w:color w:val="1F497D" w:themeColor="text2"/>
          <w:sz w:val="24"/>
          <w:szCs w:val="24"/>
        </w:rPr>
        <w:t xml:space="preserve"> </w:t>
      </w:r>
      <w:r w:rsidR="0065067B">
        <w:rPr>
          <w:rFonts w:ascii="Century Gothic" w:hAnsi="Century Gothic"/>
          <w:color w:val="1F497D" w:themeColor="text2"/>
          <w:sz w:val="24"/>
          <w:szCs w:val="24"/>
        </w:rPr>
        <w:t>dell’</w:t>
      </w:r>
      <w:r w:rsidR="00091D16" w:rsidRPr="004E087D">
        <w:rPr>
          <w:rFonts w:ascii="Century Gothic" w:hAnsi="Century Gothic"/>
          <w:color w:val="1F497D" w:themeColor="text2"/>
          <w:sz w:val="24"/>
          <w:szCs w:val="24"/>
        </w:rPr>
        <w:t>upgrade tecnologico</w:t>
      </w:r>
      <w:r w:rsidRPr="004E087D">
        <w:rPr>
          <w:rFonts w:ascii="Century Gothic" w:hAnsi="Century Gothic"/>
          <w:color w:val="1F497D" w:themeColor="text2"/>
          <w:sz w:val="24"/>
          <w:szCs w:val="24"/>
        </w:rPr>
        <w:t xml:space="preserve"> della piattaforma (da</w:t>
      </w:r>
      <w:r w:rsidR="0065067B">
        <w:rPr>
          <w:rFonts w:ascii="Century Gothic" w:hAnsi="Century Gothic"/>
          <w:color w:val="1F497D" w:themeColor="text2"/>
          <w:sz w:val="24"/>
          <w:szCs w:val="24"/>
        </w:rPr>
        <w:t>lla versione</w:t>
      </w:r>
      <w:r w:rsidRPr="004E087D">
        <w:rPr>
          <w:rFonts w:ascii="Century Gothic" w:hAnsi="Century Gothic"/>
          <w:color w:val="1F497D" w:themeColor="text2"/>
          <w:sz w:val="24"/>
          <w:szCs w:val="24"/>
        </w:rPr>
        <w:t xml:space="preserve"> on premise a</w:t>
      </w:r>
      <w:r w:rsidR="0065067B">
        <w:rPr>
          <w:rFonts w:ascii="Century Gothic" w:hAnsi="Century Gothic"/>
          <w:color w:val="1F497D" w:themeColor="text2"/>
          <w:sz w:val="24"/>
          <w:szCs w:val="24"/>
        </w:rPr>
        <w:t xml:space="preserve">lla versione in </w:t>
      </w:r>
      <w:r w:rsidRPr="004E087D">
        <w:rPr>
          <w:rFonts w:ascii="Century Gothic" w:hAnsi="Century Gothic"/>
          <w:color w:val="1F497D" w:themeColor="text2"/>
          <w:sz w:val="24"/>
          <w:szCs w:val="24"/>
        </w:rPr>
        <w:t>cloud i</w:t>
      </w:r>
      <w:r w:rsidR="0030611A">
        <w:rPr>
          <w:rFonts w:ascii="Century Gothic" w:hAnsi="Century Gothic"/>
          <w:color w:val="1F497D" w:themeColor="text2"/>
          <w:sz w:val="24"/>
          <w:szCs w:val="24"/>
        </w:rPr>
        <w:t>n</w:t>
      </w:r>
      <w:r w:rsidRPr="004E087D">
        <w:rPr>
          <w:rFonts w:ascii="Century Gothic" w:hAnsi="Century Gothic"/>
          <w:color w:val="1F497D" w:themeColor="text2"/>
          <w:sz w:val="24"/>
          <w:szCs w:val="24"/>
        </w:rPr>
        <w:t xml:space="preserve"> base a</w:t>
      </w:r>
      <w:r w:rsidR="005C5873">
        <w:rPr>
          <w:rFonts w:ascii="Century Gothic" w:hAnsi="Century Gothic"/>
          <w:color w:val="1F497D" w:themeColor="text2"/>
          <w:sz w:val="24"/>
          <w:szCs w:val="24"/>
        </w:rPr>
        <w:t>l</w:t>
      </w:r>
      <w:r w:rsidRPr="004E087D">
        <w:rPr>
          <w:rFonts w:ascii="Century Gothic" w:hAnsi="Century Gothic"/>
          <w:color w:val="1F497D" w:themeColor="text2"/>
          <w:sz w:val="24"/>
          <w:szCs w:val="24"/>
        </w:rPr>
        <w:t xml:space="preserve"> Piano Triennale di </w:t>
      </w:r>
      <w:proofErr w:type="spellStart"/>
      <w:r w:rsidRPr="004E087D">
        <w:rPr>
          <w:rFonts w:ascii="Century Gothic" w:hAnsi="Century Gothic"/>
          <w:color w:val="1F497D" w:themeColor="text2"/>
          <w:sz w:val="24"/>
          <w:szCs w:val="24"/>
        </w:rPr>
        <w:t>AgID</w:t>
      </w:r>
      <w:proofErr w:type="spellEnd"/>
      <w:r w:rsidRPr="004E087D">
        <w:rPr>
          <w:rFonts w:ascii="Century Gothic" w:hAnsi="Century Gothic"/>
          <w:color w:val="1F497D" w:themeColor="text2"/>
          <w:sz w:val="24"/>
          <w:szCs w:val="24"/>
        </w:rPr>
        <w:t>)</w:t>
      </w:r>
      <w:r w:rsidR="00091D16" w:rsidRPr="004E087D">
        <w:rPr>
          <w:rFonts w:ascii="Century Gothic" w:hAnsi="Century Gothic"/>
          <w:color w:val="1F497D" w:themeColor="text2"/>
          <w:sz w:val="24"/>
          <w:szCs w:val="24"/>
        </w:rPr>
        <w:t xml:space="preserve">. </w:t>
      </w:r>
    </w:p>
    <w:p w14:paraId="7833F43D" w14:textId="684C15BA" w:rsidR="00ED7389" w:rsidRPr="00BB0AC2" w:rsidRDefault="00ED7389" w:rsidP="00ED7389">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Si </w:t>
      </w:r>
      <w:r w:rsidRPr="00BB0AC2">
        <w:rPr>
          <w:rFonts w:ascii="Century Gothic" w:hAnsi="Century Gothic"/>
          <w:color w:val="1F497D" w:themeColor="text2"/>
          <w:sz w:val="24"/>
          <w:szCs w:val="24"/>
        </w:rPr>
        <w:t>stima</w:t>
      </w:r>
      <w:r>
        <w:rPr>
          <w:rFonts w:ascii="Century Gothic" w:hAnsi="Century Gothic"/>
          <w:color w:val="1F497D" w:themeColor="text2"/>
          <w:sz w:val="24"/>
          <w:szCs w:val="24"/>
        </w:rPr>
        <w:t xml:space="preserve"> un importo </w:t>
      </w:r>
      <w:r w:rsidR="00666F6B">
        <w:rPr>
          <w:rFonts w:ascii="Century Gothic" w:hAnsi="Century Gothic"/>
          <w:color w:val="1F497D" w:themeColor="text2"/>
          <w:sz w:val="24"/>
          <w:szCs w:val="24"/>
        </w:rPr>
        <w:t xml:space="preserve">massimo </w:t>
      </w:r>
      <w:r>
        <w:rPr>
          <w:rFonts w:ascii="Century Gothic" w:hAnsi="Century Gothic"/>
          <w:color w:val="1F497D" w:themeColor="text2"/>
          <w:sz w:val="24"/>
          <w:szCs w:val="24"/>
        </w:rPr>
        <w:t>complessivo</w:t>
      </w:r>
      <w:r w:rsidRPr="00BB0AC2">
        <w:rPr>
          <w:rFonts w:ascii="Century Gothic" w:hAnsi="Century Gothic"/>
          <w:color w:val="1F497D" w:themeColor="text2"/>
          <w:sz w:val="24"/>
          <w:szCs w:val="24"/>
        </w:rPr>
        <w:t xml:space="preserve"> per l’acquisizione del</w:t>
      </w:r>
      <w:r>
        <w:rPr>
          <w:rFonts w:ascii="Century Gothic" w:hAnsi="Century Gothic"/>
          <w:color w:val="1F497D" w:themeColor="text2"/>
          <w:sz w:val="24"/>
          <w:szCs w:val="24"/>
        </w:rPr>
        <w:t xml:space="preserve">le licenze </w:t>
      </w:r>
      <w:r w:rsidR="00257840">
        <w:rPr>
          <w:rFonts w:ascii="Century Gothic" w:hAnsi="Century Gothic"/>
          <w:color w:val="1F497D" w:themeColor="text2"/>
          <w:sz w:val="24"/>
          <w:szCs w:val="24"/>
        </w:rPr>
        <w:t xml:space="preserve">d’uso </w:t>
      </w:r>
      <w:r>
        <w:rPr>
          <w:rFonts w:ascii="Century Gothic" w:hAnsi="Century Gothic"/>
          <w:color w:val="1F497D" w:themeColor="text2"/>
          <w:sz w:val="24"/>
          <w:szCs w:val="24"/>
        </w:rPr>
        <w:t>e</w:t>
      </w:r>
      <w:r w:rsidRPr="00BB0AC2">
        <w:rPr>
          <w:rFonts w:ascii="Century Gothic" w:hAnsi="Century Gothic"/>
          <w:color w:val="1F497D" w:themeColor="text2"/>
          <w:sz w:val="24"/>
          <w:szCs w:val="24"/>
        </w:rPr>
        <w:t xml:space="preserve"> </w:t>
      </w:r>
      <w:r>
        <w:rPr>
          <w:rFonts w:ascii="Century Gothic" w:hAnsi="Century Gothic"/>
          <w:color w:val="1F497D" w:themeColor="text2"/>
          <w:sz w:val="24"/>
          <w:szCs w:val="24"/>
        </w:rPr>
        <w:t xml:space="preserve">relativo </w:t>
      </w:r>
      <w:r w:rsidRPr="00BB0AC2">
        <w:rPr>
          <w:rFonts w:ascii="Century Gothic" w:hAnsi="Century Gothic"/>
          <w:color w:val="1F497D" w:themeColor="text2"/>
          <w:sz w:val="24"/>
          <w:szCs w:val="24"/>
        </w:rPr>
        <w:t>servizio di manutenzione</w:t>
      </w:r>
      <w:r>
        <w:rPr>
          <w:rFonts w:ascii="Century Gothic" w:hAnsi="Century Gothic"/>
          <w:color w:val="1F497D" w:themeColor="text2"/>
          <w:sz w:val="24"/>
          <w:szCs w:val="24"/>
        </w:rPr>
        <w:t xml:space="preserve"> correttiva </w:t>
      </w:r>
      <w:proofErr w:type="gramStart"/>
      <w:r>
        <w:rPr>
          <w:rFonts w:ascii="Century Gothic" w:hAnsi="Century Gothic"/>
          <w:color w:val="1F497D" w:themeColor="text2"/>
          <w:sz w:val="24"/>
          <w:szCs w:val="24"/>
        </w:rPr>
        <w:t>e</w:t>
      </w:r>
      <w:proofErr w:type="gramEnd"/>
      <w:r>
        <w:rPr>
          <w:rFonts w:ascii="Century Gothic" w:hAnsi="Century Gothic"/>
          <w:color w:val="1F497D" w:themeColor="text2"/>
          <w:sz w:val="24"/>
          <w:szCs w:val="24"/>
        </w:rPr>
        <w:t xml:space="preserve"> evolutiva</w:t>
      </w:r>
      <w:r w:rsidRPr="00BB0AC2">
        <w:rPr>
          <w:rFonts w:ascii="Century Gothic" w:hAnsi="Century Gothic"/>
          <w:color w:val="1F497D" w:themeColor="text2"/>
          <w:sz w:val="24"/>
          <w:szCs w:val="24"/>
        </w:rPr>
        <w:t>,</w:t>
      </w:r>
      <w:r>
        <w:rPr>
          <w:rFonts w:ascii="Century Gothic" w:hAnsi="Century Gothic"/>
          <w:color w:val="1F497D" w:themeColor="text2"/>
          <w:sz w:val="24"/>
          <w:szCs w:val="24"/>
        </w:rPr>
        <w:t xml:space="preserve"> per la </w:t>
      </w:r>
      <w:r w:rsidRPr="00257840">
        <w:rPr>
          <w:rFonts w:ascii="Century Gothic" w:hAnsi="Century Gothic"/>
          <w:color w:val="1F497D" w:themeColor="text2"/>
          <w:sz w:val="24"/>
          <w:szCs w:val="24"/>
        </w:rPr>
        <w:t xml:space="preserve">durata di </w:t>
      </w:r>
      <w:r w:rsidR="00257840" w:rsidRPr="00257840">
        <w:rPr>
          <w:rFonts w:ascii="Century Gothic" w:hAnsi="Century Gothic"/>
          <w:color w:val="1F497D" w:themeColor="text2"/>
          <w:sz w:val="24"/>
          <w:szCs w:val="24"/>
        </w:rPr>
        <w:t xml:space="preserve">12 </w:t>
      </w:r>
      <w:r w:rsidRPr="00257840">
        <w:rPr>
          <w:rFonts w:ascii="Century Gothic" w:hAnsi="Century Gothic"/>
          <w:color w:val="1F497D" w:themeColor="text2"/>
          <w:sz w:val="24"/>
          <w:szCs w:val="24"/>
        </w:rPr>
        <w:t xml:space="preserve">mesi, </w:t>
      </w:r>
      <w:r w:rsidRPr="00FD1416">
        <w:rPr>
          <w:rFonts w:ascii="Century Gothic" w:hAnsi="Century Gothic"/>
          <w:color w:val="1F497D" w:themeColor="text2"/>
          <w:sz w:val="24"/>
          <w:szCs w:val="24"/>
        </w:rPr>
        <w:t xml:space="preserve">pari ad </w:t>
      </w:r>
      <w:r w:rsidR="004E087D" w:rsidRPr="00FD1416">
        <w:rPr>
          <w:rFonts w:ascii="Century Gothic" w:hAnsi="Century Gothic"/>
          <w:color w:val="1F497D" w:themeColor="text2"/>
          <w:sz w:val="24"/>
          <w:szCs w:val="24"/>
        </w:rPr>
        <w:t>euro</w:t>
      </w:r>
      <w:r w:rsidRPr="00FD1416">
        <w:rPr>
          <w:rFonts w:ascii="Century Gothic" w:hAnsi="Century Gothic"/>
          <w:color w:val="1F497D" w:themeColor="text2"/>
          <w:sz w:val="24"/>
          <w:szCs w:val="24"/>
        </w:rPr>
        <w:t xml:space="preserve"> </w:t>
      </w:r>
      <w:r w:rsidR="00257840" w:rsidRPr="00FD1416">
        <w:rPr>
          <w:rFonts w:ascii="Century Gothic" w:hAnsi="Century Gothic"/>
          <w:color w:val="1F497D" w:themeColor="text2"/>
          <w:sz w:val="24"/>
          <w:szCs w:val="24"/>
        </w:rPr>
        <w:t>70</w:t>
      </w:r>
      <w:r w:rsidRPr="00FD1416">
        <w:rPr>
          <w:rFonts w:ascii="Century Gothic" w:hAnsi="Century Gothic"/>
          <w:color w:val="1F497D" w:themeColor="text2"/>
          <w:sz w:val="24"/>
          <w:szCs w:val="24"/>
        </w:rPr>
        <w:t>.000</w:t>
      </w:r>
      <w:r w:rsidRPr="00A046F4">
        <w:rPr>
          <w:rFonts w:ascii="Century Gothic" w:hAnsi="Century Gothic"/>
          <w:color w:val="1F497D" w:themeColor="text2"/>
          <w:sz w:val="24"/>
          <w:szCs w:val="24"/>
        </w:rPr>
        <w:t xml:space="preserve"> (</w:t>
      </w:r>
      <w:r w:rsidR="00257840">
        <w:rPr>
          <w:rFonts w:ascii="Century Gothic" w:hAnsi="Century Gothic"/>
          <w:color w:val="1F497D" w:themeColor="text2"/>
          <w:sz w:val="24"/>
          <w:szCs w:val="24"/>
        </w:rPr>
        <w:t>settantamila</w:t>
      </w:r>
      <w:r w:rsidRPr="00A046F4">
        <w:rPr>
          <w:rFonts w:ascii="Century Gothic" w:hAnsi="Century Gothic"/>
          <w:color w:val="1F497D" w:themeColor="text2"/>
          <w:sz w:val="24"/>
          <w:szCs w:val="24"/>
        </w:rPr>
        <w:t>/00) IVA</w:t>
      </w:r>
      <w:r w:rsidRPr="00B910FC">
        <w:rPr>
          <w:rFonts w:ascii="Century Gothic" w:hAnsi="Century Gothic"/>
          <w:color w:val="1F497D" w:themeColor="text2"/>
          <w:sz w:val="24"/>
          <w:szCs w:val="24"/>
        </w:rPr>
        <w:t xml:space="preserve"> esclusa.</w:t>
      </w:r>
    </w:p>
    <w:p w14:paraId="7C2DC7FC" w14:textId="77777777" w:rsidR="00ED7389" w:rsidRDefault="00ED7389" w:rsidP="00ED7389">
      <w:pPr>
        <w:tabs>
          <w:tab w:val="left" w:pos="8789"/>
        </w:tabs>
        <w:ind w:left="567" w:right="565" w:firstLine="567"/>
        <w:jc w:val="both"/>
        <w:rPr>
          <w:rFonts w:ascii="Century Gothic" w:hAnsi="Century Gothic"/>
          <w:color w:val="1F497D" w:themeColor="text2"/>
          <w:sz w:val="24"/>
          <w:szCs w:val="24"/>
        </w:rPr>
      </w:pPr>
      <w:r w:rsidRPr="00443A83">
        <w:rPr>
          <w:rFonts w:ascii="Century Gothic" w:hAnsi="Century Gothic" w:cs="Courier New"/>
          <w:color w:val="1F497D" w:themeColor="text2"/>
          <w:sz w:val="24"/>
          <w:szCs w:val="24"/>
        </w:rPr>
        <w:t xml:space="preserve">All’esito della consultazione </w:t>
      </w:r>
      <w:r w:rsidRPr="00443A83">
        <w:rPr>
          <w:rFonts w:ascii="Century Gothic" w:hAnsi="Century Gothic"/>
          <w:color w:val="1F497D" w:themeColor="text2"/>
          <w:sz w:val="24"/>
          <w:szCs w:val="24"/>
        </w:rPr>
        <w:t xml:space="preserve">l’Agenzia </w:t>
      </w:r>
      <w:r>
        <w:rPr>
          <w:rFonts w:ascii="Century Gothic" w:hAnsi="Century Gothic"/>
          <w:color w:val="1F497D" w:themeColor="text2"/>
          <w:sz w:val="24"/>
          <w:szCs w:val="24"/>
        </w:rPr>
        <w:t xml:space="preserve">effettuerà la valutazione comparativa di cui alle superiori premesse, analizzando </w:t>
      </w:r>
      <w:r w:rsidRPr="00443A83">
        <w:rPr>
          <w:rFonts w:ascii="Century Gothic" w:hAnsi="Century Gothic"/>
          <w:color w:val="1F497D" w:themeColor="text2"/>
          <w:sz w:val="24"/>
          <w:szCs w:val="24"/>
        </w:rPr>
        <w:t>la fattibilità e la convenienza d</w:t>
      </w:r>
      <w:r>
        <w:rPr>
          <w:rFonts w:ascii="Century Gothic" w:hAnsi="Century Gothic"/>
          <w:color w:val="1F497D" w:themeColor="text2"/>
          <w:sz w:val="24"/>
          <w:szCs w:val="24"/>
        </w:rPr>
        <w:t xml:space="preserve">i </w:t>
      </w:r>
      <w:r w:rsidRPr="00443A83">
        <w:rPr>
          <w:rFonts w:ascii="Century Gothic" w:hAnsi="Century Gothic"/>
          <w:color w:val="1F497D" w:themeColor="text2"/>
          <w:sz w:val="24"/>
          <w:szCs w:val="24"/>
        </w:rPr>
        <w:t>soluzion</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tecnic</w:t>
      </w:r>
      <w:r>
        <w:rPr>
          <w:rFonts w:ascii="Century Gothic" w:hAnsi="Century Gothic"/>
          <w:color w:val="1F497D" w:themeColor="text2"/>
          <w:sz w:val="24"/>
          <w:szCs w:val="24"/>
        </w:rPr>
        <w:t>he</w:t>
      </w:r>
      <w:r w:rsidRPr="00443A83">
        <w:rPr>
          <w:rFonts w:ascii="Century Gothic" w:hAnsi="Century Gothic"/>
          <w:color w:val="1F497D" w:themeColor="text2"/>
          <w:sz w:val="24"/>
          <w:szCs w:val="24"/>
        </w:rPr>
        <w:t xml:space="preserve"> present</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sul mercato che abbia</w:t>
      </w:r>
      <w:r>
        <w:rPr>
          <w:rFonts w:ascii="Century Gothic" w:hAnsi="Century Gothic"/>
          <w:color w:val="1F497D" w:themeColor="text2"/>
          <w:sz w:val="24"/>
          <w:szCs w:val="24"/>
        </w:rPr>
        <w:t>no</w:t>
      </w:r>
      <w:r w:rsidRPr="00443A83">
        <w:rPr>
          <w:rFonts w:ascii="Century Gothic" w:hAnsi="Century Gothic"/>
          <w:color w:val="1F497D" w:themeColor="text2"/>
          <w:sz w:val="24"/>
          <w:szCs w:val="24"/>
        </w:rPr>
        <w:t xml:space="preserve"> caratteristiche e funzionalità analoghe a quella in uso</w:t>
      </w:r>
      <w:r>
        <w:rPr>
          <w:rFonts w:ascii="Century Gothic" w:hAnsi="Century Gothic"/>
          <w:color w:val="1F497D" w:themeColor="text2"/>
          <w:sz w:val="24"/>
          <w:szCs w:val="24"/>
        </w:rPr>
        <w:t>.</w:t>
      </w:r>
    </w:p>
    <w:p w14:paraId="035E0A42" w14:textId="77777777" w:rsidR="009F2F2C" w:rsidRDefault="009F2F2C">
      <w:pPr>
        <w:spacing w:after="0" w:line="240" w:lineRule="auto"/>
        <w:rPr>
          <w:rFonts w:ascii="Century Gothic" w:hAnsi="Century Gothic"/>
          <w:color w:val="1F497D" w:themeColor="text2"/>
          <w:sz w:val="24"/>
          <w:szCs w:val="24"/>
        </w:rPr>
      </w:pPr>
      <w:r>
        <w:rPr>
          <w:rFonts w:ascii="Century Gothic" w:hAnsi="Century Gothic"/>
          <w:color w:val="1F497D" w:themeColor="text2"/>
          <w:sz w:val="24"/>
          <w:szCs w:val="24"/>
        </w:rPr>
        <w:br w:type="page"/>
      </w:r>
    </w:p>
    <w:p w14:paraId="49BC3542" w14:textId="77777777" w:rsidR="00ED7389" w:rsidRPr="00666F6B" w:rsidRDefault="00ED7389" w:rsidP="004E087D">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666F6B">
        <w:rPr>
          <w:rFonts w:ascii="Century Gothic" w:hAnsi="Century Gothic" w:cs="Courier New"/>
          <w:b/>
          <w:bCs/>
          <w:i/>
          <w:color w:val="1F497D" w:themeColor="text2"/>
          <w:sz w:val="24"/>
          <w:szCs w:val="24"/>
        </w:rPr>
        <w:lastRenderedPageBreak/>
        <w:t>Descrizione delle specifiche del prodotto in uso</w:t>
      </w:r>
    </w:p>
    <w:p w14:paraId="5453F00E" w14:textId="77777777" w:rsidR="00ED7389" w:rsidRDefault="00ED7389" w:rsidP="006B7979">
      <w:pPr>
        <w:tabs>
          <w:tab w:val="left" w:pos="8789"/>
        </w:tabs>
        <w:ind w:left="567" w:right="565" w:firstLine="567"/>
        <w:jc w:val="both"/>
        <w:rPr>
          <w:rFonts w:ascii="Century Gothic" w:hAnsi="Century Gothic"/>
          <w:color w:val="1F497D" w:themeColor="text2"/>
          <w:sz w:val="24"/>
          <w:szCs w:val="24"/>
        </w:rPr>
      </w:pPr>
      <w:r w:rsidRPr="004E087D">
        <w:rPr>
          <w:rFonts w:ascii="Century Gothic" w:hAnsi="Century Gothic"/>
          <w:color w:val="1F497D" w:themeColor="text2"/>
          <w:sz w:val="24"/>
          <w:szCs w:val="24"/>
        </w:rPr>
        <w:t xml:space="preserve">L’attuale applicativo in uso è </w:t>
      </w:r>
      <w:r w:rsidR="006B7979" w:rsidRPr="00091D16">
        <w:rPr>
          <w:rFonts w:ascii="Century Gothic" w:hAnsi="Century Gothic"/>
          <w:color w:val="1F497D" w:themeColor="text2"/>
          <w:sz w:val="24"/>
          <w:szCs w:val="24"/>
        </w:rPr>
        <w:t>“</w:t>
      </w:r>
      <w:proofErr w:type="spellStart"/>
      <w:r w:rsidR="006B7979" w:rsidRPr="00091D16">
        <w:rPr>
          <w:rFonts w:ascii="Century Gothic" w:hAnsi="Century Gothic"/>
          <w:color w:val="1F497D" w:themeColor="text2"/>
          <w:sz w:val="24"/>
          <w:szCs w:val="24"/>
        </w:rPr>
        <w:t>EasyTelematico</w:t>
      </w:r>
      <w:proofErr w:type="spellEnd"/>
      <w:r w:rsidR="006B7979" w:rsidRPr="00091D16">
        <w:rPr>
          <w:rFonts w:ascii="Century Gothic" w:hAnsi="Century Gothic"/>
          <w:color w:val="1F497D" w:themeColor="text2"/>
          <w:sz w:val="24"/>
          <w:szCs w:val="24"/>
        </w:rPr>
        <w:t xml:space="preserve"> – Enti”</w:t>
      </w:r>
      <w:r>
        <w:rPr>
          <w:rFonts w:ascii="Century Gothic" w:hAnsi="Century Gothic"/>
          <w:color w:val="1F497D" w:themeColor="text2"/>
          <w:sz w:val="24"/>
          <w:szCs w:val="24"/>
        </w:rPr>
        <w:t xml:space="preserve"> in tale configurazione:</w:t>
      </w:r>
    </w:p>
    <w:p w14:paraId="332D2313" w14:textId="77777777" w:rsidR="00BC0A41" w:rsidRPr="004E087D" w:rsidRDefault="00BC0A41" w:rsidP="004E087D">
      <w:pPr>
        <w:pStyle w:val="Paragrafoelenco"/>
        <w:numPr>
          <w:ilvl w:val="0"/>
          <w:numId w:val="14"/>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 xml:space="preserve">n.200 licenze d’uso versione client </w:t>
      </w:r>
      <w:proofErr w:type="spellStart"/>
      <w:r w:rsidRPr="004E087D">
        <w:rPr>
          <w:rFonts w:ascii="Century Gothic" w:hAnsi="Century Gothic"/>
          <w:color w:val="1F497D" w:themeColor="text2"/>
          <w:sz w:val="24"/>
          <w:szCs w:val="24"/>
        </w:rPr>
        <w:t>floating</w:t>
      </w:r>
      <w:proofErr w:type="spellEnd"/>
      <w:r w:rsidR="00ED7389" w:rsidRPr="004E087D">
        <w:rPr>
          <w:rFonts w:ascii="Century Gothic" w:hAnsi="Century Gothic"/>
          <w:color w:val="1F497D" w:themeColor="text2"/>
          <w:sz w:val="24"/>
          <w:szCs w:val="24"/>
        </w:rPr>
        <w:t>;</w:t>
      </w:r>
    </w:p>
    <w:p w14:paraId="65A76F82" w14:textId="77777777" w:rsidR="00BC0A41" w:rsidRPr="004E087D" w:rsidRDefault="00BC0A41" w:rsidP="004E087D">
      <w:pPr>
        <w:pStyle w:val="Paragrafoelenco"/>
        <w:numPr>
          <w:ilvl w:val="0"/>
          <w:numId w:val="14"/>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licenza d’uso versione server</w:t>
      </w:r>
      <w:r w:rsidR="00ED7389" w:rsidRPr="004E087D">
        <w:rPr>
          <w:rFonts w:ascii="Century Gothic" w:hAnsi="Century Gothic"/>
          <w:color w:val="1F497D" w:themeColor="text2"/>
          <w:sz w:val="24"/>
          <w:szCs w:val="24"/>
        </w:rPr>
        <w:t>.</w:t>
      </w:r>
    </w:p>
    <w:p w14:paraId="636DC5BC" w14:textId="77777777" w:rsidR="00677805" w:rsidRPr="00677805" w:rsidRDefault="00ED7389" w:rsidP="00677805">
      <w:pPr>
        <w:tabs>
          <w:tab w:val="left" w:pos="8789"/>
        </w:tabs>
        <w:ind w:left="567"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Tale </w:t>
      </w:r>
      <w:r w:rsidRPr="00704575">
        <w:rPr>
          <w:rFonts w:ascii="Century Gothic" w:hAnsi="Century Gothic"/>
          <w:color w:val="1F497D" w:themeColor="text2"/>
          <w:sz w:val="24"/>
          <w:szCs w:val="24"/>
        </w:rPr>
        <w:t xml:space="preserve">applicativo </w:t>
      </w:r>
      <w:r>
        <w:rPr>
          <w:rFonts w:ascii="Century Gothic" w:hAnsi="Century Gothic"/>
          <w:color w:val="1F497D" w:themeColor="text2"/>
          <w:sz w:val="24"/>
          <w:szCs w:val="24"/>
        </w:rPr>
        <w:t>soddisfa quanto indicato nel paragrafo precedente ed i</w:t>
      </w:r>
      <w:r w:rsidR="00677805" w:rsidRPr="00677805">
        <w:rPr>
          <w:rFonts w:ascii="Century Gothic" w:hAnsi="Century Gothic"/>
          <w:color w:val="1F497D" w:themeColor="text2"/>
          <w:sz w:val="24"/>
          <w:szCs w:val="24"/>
        </w:rPr>
        <w:t xml:space="preserve">n virtù degli obblighi citati e nell’ambito delle attività svolte in relazione alla gestione del Contenzioso di Riscossione, </w:t>
      </w:r>
      <w:r>
        <w:rPr>
          <w:rFonts w:ascii="Century Gothic" w:hAnsi="Century Gothic"/>
          <w:color w:val="1F497D" w:themeColor="text2"/>
          <w:sz w:val="24"/>
          <w:szCs w:val="24"/>
        </w:rPr>
        <w:t>consente:</w:t>
      </w:r>
    </w:p>
    <w:p w14:paraId="0547B2A3" w14:textId="77777777" w:rsidR="00444BDF" w:rsidRPr="004E087D" w:rsidRDefault="00444BDF" w:rsidP="004E087D">
      <w:pPr>
        <w:pStyle w:val="Paragrafoelenco"/>
        <w:numPr>
          <w:ilvl w:val="0"/>
          <w:numId w:val="15"/>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Estensione delle funzioni di deposito telematico con una sezione apposita per il deposito degli atti relativi al processo amministrativo telematico presso i TAR ed il Consiglio di Stato</w:t>
      </w:r>
      <w:r w:rsidR="00ED7389">
        <w:rPr>
          <w:rFonts w:ascii="Century Gothic" w:hAnsi="Century Gothic"/>
          <w:color w:val="1F497D" w:themeColor="text2"/>
          <w:sz w:val="24"/>
          <w:szCs w:val="24"/>
        </w:rPr>
        <w:t>;</w:t>
      </w:r>
    </w:p>
    <w:p w14:paraId="2A9CDBED" w14:textId="77777777" w:rsidR="00444BDF" w:rsidRPr="004E087D" w:rsidRDefault="00444BDF" w:rsidP="004E087D">
      <w:pPr>
        <w:pStyle w:val="Paragrafoelenco"/>
        <w:numPr>
          <w:ilvl w:val="0"/>
          <w:numId w:val="15"/>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 xml:space="preserve">Gestione dei messaggi relativi agli avvisi ed agli esiti dei depositi effettuati presso i TAR ed il Consiglio di Stato ricevuti alla </w:t>
      </w:r>
      <w:r w:rsidR="00ED7389">
        <w:rPr>
          <w:rFonts w:ascii="Century Gothic" w:hAnsi="Century Gothic"/>
          <w:color w:val="1F497D" w:themeColor="text2"/>
          <w:sz w:val="24"/>
          <w:szCs w:val="24"/>
        </w:rPr>
        <w:t>PEC</w:t>
      </w:r>
      <w:r w:rsidRPr="004E087D">
        <w:rPr>
          <w:rFonts w:ascii="Century Gothic" w:hAnsi="Century Gothic"/>
          <w:color w:val="1F497D" w:themeColor="text2"/>
          <w:sz w:val="24"/>
          <w:szCs w:val="24"/>
        </w:rPr>
        <w:t xml:space="preserve"> societaria deputata al PCT</w:t>
      </w:r>
      <w:r w:rsidR="00ED7389">
        <w:rPr>
          <w:rFonts w:ascii="Century Gothic" w:hAnsi="Century Gothic"/>
          <w:color w:val="1F497D" w:themeColor="text2"/>
          <w:sz w:val="24"/>
          <w:szCs w:val="24"/>
        </w:rPr>
        <w:t>;</w:t>
      </w:r>
    </w:p>
    <w:p w14:paraId="5EADDC3A" w14:textId="22C145AF" w:rsidR="00444BDF" w:rsidRPr="004E087D" w:rsidRDefault="00444BDF" w:rsidP="004E087D">
      <w:pPr>
        <w:pStyle w:val="Paragrafoelenco"/>
        <w:numPr>
          <w:ilvl w:val="0"/>
          <w:numId w:val="15"/>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 xml:space="preserve">Gestione dei messaggi ricevuti alla </w:t>
      </w:r>
      <w:r w:rsidR="00ED7389">
        <w:rPr>
          <w:rFonts w:ascii="Century Gothic" w:hAnsi="Century Gothic"/>
          <w:color w:val="1F497D" w:themeColor="text2"/>
          <w:sz w:val="24"/>
          <w:szCs w:val="24"/>
        </w:rPr>
        <w:t>PEC</w:t>
      </w:r>
      <w:r w:rsidRPr="004E087D">
        <w:rPr>
          <w:rFonts w:ascii="Century Gothic" w:hAnsi="Century Gothic"/>
          <w:color w:val="1F497D" w:themeColor="text2"/>
          <w:sz w:val="24"/>
          <w:szCs w:val="24"/>
        </w:rPr>
        <w:t xml:space="preserve"> societaria relativamente agli esiti dei depositi per il processo tributario telematico inoltrati tramite il sistema </w:t>
      </w:r>
      <w:r w:rsidR="0065067B" w:rsidRPr="004E087D">
        <w:rPr>
          <w:rFonts w:ascii="Century Gothic" w:hAnsi="Century Gothic"/>
          <w:color w:val="1F497D" w:themeColor="text2"/>
          <w:sz w:val="24"/>
          <w:szCs w:val="24"/>
        </w:rPr>
        <w:t>SI.GI. T.</w:t>
      </w:r>
      <w:r w:rsidRPr="004E087D">
        <w:rPr>
          <w:rFonts w:ascii="Century Gothic" w:hAnsi="Century Gothic"/>
          <w:color w:val="1F497D" w:themeColor="text2"/>
          <w:sz w:val="24"/>
          <w:szCs w:val="24"/>
        </w:rPr>
        <w:t xml:space="preserve"> della giustizia tributaria, secondo quanto specificato nell’articolo 7 del D.M. 4.8.2015, in merito alle comunicazioni inviate alla PEC del soggetto abilitato</w:t>
      </w:r>
      <w:r w:rsidR="00ED7389">
        <w:rPr>
          <w:rFonts w:ascii="Century Gothic" w:hAnsi="Century Gothic"/>
          <w:color w:val="1F497D" w:themeColor="text2"/>
          <w:sz w:val="24"/>
          <w:szCs w:val="24"/>
        </w:rPr>
        <w:t>;</w:t>
      </w:r>
    </w:p>
    <w:p w14:paraId="4EE681B3" w14:textId="77777777" w:rsidR="00444BDF" w:rsidRPr="004E087D" w:rsidRDefault="00444BDF" w:rsidP="004E087D">
      <w:pPr>
        <w:pStyle w:val="Paragrafoelenco"/>
        <w:numPr>
          <w:ilvl w:val="0"/>
          <w:numId w:val="15"/>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Generazione dell’attestazione di copia conforme e firma digitale di più allegati contemporaneamente</w:t>
      </w:r>
      <w:r w:rsidR="00ED7389">
        <w:rPr>
          <w:rFonts w:ascii="Century Gothic" w:hAnsi="Century Gothic"/>
          <w:color w:val="1F497D" w:themeColor="text2"/>
          <w:sz w:val="24"/>
          <w:szCs w:val="24"/>
        </w:rPr>
        <w:t>;</w:t>
      </w:r>
    </w:p>
    <w:p w14:paraId="7C0A87B1" w14:textId="77777777" w:rsidR="00444BDF" w:rsidRPr="004E087D" w:rsidRDefault="00677805" w:rsidP="004E087D">
      <w:pPr>
        <w:pStyle w:val="Paragrafoelenco"/>
        <w:numPr>
          <w:ilvl w:val="0"/>
          <w:numId w:val="15"/>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F</w:t>
      </w:r>
      <w:r w:rsidR="00444BDF" w:rsidRPr="004E087D">
        <w:rPr>
          <w:rFonts w:ascii="Century Gothic" w:hAnsi="Century Gothic"/>
          <w:color w:val="1F497D" w:themeColor="text2"/>
          <w:sz w:val="24"/>
          <w:szCs w:val="24"/>
        </w:rPr>
        <w:t>unzionalità di ricerca mirata all’interno dell’applicativo (es. per codice fiscale);</w:t>
      </w:r>
    </w:p>
    <w:p w14:paraId="3B047F12" w14:textId="45279701" w:rsidR="00444BDF" w:rsidRPr="004E087D" w:rsidRDefault="00677805" w:rsidP="004E087D">
      <w:pPr>
        <w:pStyle w:val="Paragrafoelenco"/>
        <w:numPr>
          <w:ilvl w:val="0"/>
          <w:numId w:val="15"/>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F</w:t>
      </w:r>
      <w:r w:rsidR="00444BDF" w:rsidRPr="004E087D">
        <w:rPr>
          <w:rFonts w:ascii="Century Gothic" w:hAnsi="Century Gothic"/>
          <w:color w:val="1F497D" w:themeColor="text2"/>
          <w:sz w:val="24"/>
          <w:szCs w:val="24"/>
        </w:rPr>
        <w:t xml:space="preserve">unzionalità afferenti </w:t>
      </w:r>
      <w:r w:rsidR="0065067B" w:rsidRPr="004E087D">
        <w:rPr>
          <w:rFonts w:ascii="Century Gothic" w:hAnsi="Century Gothic"/>
          <w:color w:val="1F497D" w:themeColor="text2"/>
          <w:sz w:val="24"/>
          <w:szCs w:val="24"/>
        </w:rPr>
        <w:t>alla</w:t>
      </w:r>
      <w:r w:rsidR="00444BDF" w:rsidRPr="004E087D">
        <w:rPr>
          <w:rFonts w:ascii="Century Gothic" w:hAnsi="Century Gothic"/>
          <w:color w:val="1F497D" w:themeColor="text2"/>
          <w:sz w:val="24"/>
          <w:szCs w:val="24"/>
        </w:rPr>
        <w:t xml:space="preserve"> gestione delle udienze presenti nell’Agenda per fascicolo ed operatore. </w:t>
      </w:r>
    </w:p>
    <w:p w14:paraId="368BB36D" w14:textId="77777777" w:rsidR="00437365" w:rsidRDefault="00437365">
      <w:pPr>
        <w:spacing w:after="0" w:line="240" w:lineRule="auto"/>
        <w:rPr>
          <w:rFonts w:ascii="Century Gothic" w:hAnsi="Century Gothic"/>
          <w:color w:val="1F497D" w:themeColor="text2"/>
          <w:sz w:val="24"/>
          <w:szCs w:val="24"/>
        </w:rPr>
      </w:pPr>
      <w:r>
        <w:rPr>
          <w:rFonts w:ascii="Century Gothic" w:hAnsi="Century Gothic"/>
          <w:color w:val="1F497D" w:themeColor="text2"/>
          <w:sz w:val="24"/>
          <w:szCs w:val="24"/>
        </w:rPr>
        <w:br w:type="page"/>
      </w:r>
    </w:p>
    <w:p w14:paraId="286F26EE" w14:textId="77777777" w:rsidR="005D0112"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Domande</w:t>
      </w:r>
    </w:p>
    <w:p w14:paraId="4B353321" w14:textId="77777777" w:rsidR="005D0112" w:rsidRPr="00646C9A" w:rsidRDefault="00C2086C" w:rsidP="00646C9A">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ha la capacità tecnica per soddisfare il fabbisogno per l’acquisizione delle licenze “</w:t>
      </w:r>
      <w:r w:rsidR="00677805">
        <w:rPr>
          <w:rFonts w:ascii="Century Gothic" w:hAnsi="Century Gothic" w:cs="Courier New"/>
          <w:color w:val="1F497D" w:themeColor="text2"/>
          <w:sz w:val="24"/>
        </w:rPr>
        <w:t>Easy Telematico Enti</w:t>
      </w:r>
      <w:r>
        <w:rPr>
          <w:rFonts w:ascii="Century Gothic" w:hAnsi="Century Gothic" w:cs="Courier New"/>
          <w:color w:val="1F497D" w:themeColor="text2"/>
          <w:sz w:val="24"/>
        </w:rPr>
        <w:t>” e dei relativi servizi di manutenzione indicato nei paragrafi precedenti e in uso presso l’Agenzia? In caso positivo, quali certificazioni possiede e/o quali accordi commerciali ha in essere con la società produttrice per la fornitura delle licenze e l’erogazione del servizio di manutenzione richiesti?</w:t>
      </w:r>
    </w:p>
    <w:p w14:paraId="52F75B71"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67BF1D0" w14:textId="77777777" w:rsidR="005D0112" w:rsidRPr="00646C9A" w:rsidRDefault="00C2086C" w:rsidP="0067780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l’Azienda fosse interessata alla fornitura delle licenz</w:t>
      </w:r>
      <w:r w:rsidR="00646C9A">
        <w:rPr>
          <w:rFonts w:ascii="Century Gothic" w:hAnsi="Century Gothic" w:cs="Courier New"/>
          <w:color w:val="1F497D" w:themeColor="text2"/>
          <w:sz w:val="24"/>
        </w:rPr>
        <w:t>e</w:t>
      </w:r>
      <w:r>
        <w:rPr>
          <w:rFonts w:ascii="Century Gothic" w:hAnsi="Century Gothic" w:cs="Courier New"/>
          <w:color w:val="1F497D" w:themeColor="text2"/>
          <w:sz w:val="24"/>
        </w:rPr>
        <w:t xml:space="preserve"> “</w:t>
      </w:r>
      <w:r w:rsidR="00677805" w:rsidRPr="00677805">
        <w:rPr>
          <w:rFonts w:ascii="Century Gothic" w:hAnsi="Century Gothic" w:cs="Courier New"/>
          <w:color w:val="1F497D" w:themeColor="text2"/>
          <w:sz w:val="24"/>
        </w:rPr>
        <w:t>Easy Telematico Enti</w:t>
      </w:r>
      <w:r>
        <w:rPr>
          <w:rFonts w:ascii="Century Gothic" w:hAnsi="Century Gothic" w:cs="Courier New"/>
          <w:color w:val="1F497D" w:themeColor="text2"/>
          <w:sz w:val="24"/>
        </w:rPr>
        <w:t xml:space="preserve">” e dei relativi servizi di manutenzione quali elementi potrebbero essere considerati punti di forza, ovvero costituire un limite alla partecipazione all’iniziativa in oggetto? </w:t>
      </w:r>
    </w:p>
    <w:p w14:paraId="0BF8AAC2"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DBB810F" w14:textId="77777777" w:rsidR="005D0112" w:rsidRDefault="00C2086C">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w:t>
      </w:r>
    </w:p>
    <w:p w14:paraId="7D52F935"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732F6182"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7BBCB0C8" w14:textId="77777777"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L’Azienda potrebbe offrire soluzioni tecnologiche alternative in grado di garantire le stesse funzionalità della soluzione di gestione </w:t>
      </w:r>
      <w:r w:rsidR="00A826C5">
        <w:rPr>
          <w:rFonts w:ascii="Century Gothic" w:hAnsi="Century Gothic" w:cs="Courier New"/>
          <w:color w:val="1F497D" w:themeColor="text2"/>
          <w:sz w:val="24"/>
        </w:rPr>
        <w:t xml:space="preserve">del Processo </w:t>
      </w:r>
      <w:r w:rsidR="00A826C5">
        <w:rPr>
          <w:rFonts w:ascii="Century Gothic" w:hAnsi="Century Gothic" w:cs="Courier New"/>
          <w:color w:val="1F497D" w:themeColor="text2"/>
          <w:sz w:val="24"/>
        </w:rPr>
        <w:lastRenderedPageBreak/>
        <w:t>Civile Telematico</w:t>
      </w:r>
      <w:r>
        <w:rPr>
          <w:rFonts w:ascii="Century Gothic" w:hAnsi="Century Gothic" w:cs="Courier New"/>
          <w:color w:val="1F497D" w:themeColor="text2"/>
          <w:sz w:val="24"/>
        </w:rPr>
        <w:t xml:space="preserve"> in uso presso l’Agenzia? In caso affermativo, si chiede di descrivere le caratteristiche delle soluzioni tecnologiche alternative e gli eventuali ambiti in cui sono impiegate.</w:t>
      </w:r>
    </w:p>
    <w:p w14:paraId="10D6F2E7"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1314057" w14:textId="77777777"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di gestione </w:t>
      </w:r>
      <w:r w:rsidR="00A826C5" w:rsidRPr="00A826C5">
        <w:rPr>
          <w:rFonts w:ascii="Century Gothic" w:hAnsi="Century Gothic" w:cs="Courier New"/>
          <w:color w:val="1F497D" w:themeColor="text2"/>
          <w:sz w:val="24"/>
        </w:rPr>
        <w:t xml:space="preserve">del Processo Civile Telematico </w:t>
      </w:r>
      <w:r>
        <w:rPr>
          <w:rFonts w:ascii="Century Gothic" w:hAnsi="Century Gothic" w:cs="Courier New"/>
          <w:color w:val="1F497D" w:themeColor="text2"/>
          <w:sz w:val="24"/>
        </w:rPr>
        <w:t>in uso presso l’Agenzia in grado di garantire le stesse funzionalità, quali sono le variabili tecniche delle soluzioni proposte (es. servizio in cloud, open source, etc.)?</w:t>
      </w:r>
    </w:p>
    <w:p w14:paraId="797E1AD3"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5D80CF5" w14:textId="77777777"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di gestione </w:t>
      </w:r>
      <w:r w:rsidR="00A826C5" w:rsidRPr="00A826C5">
        <w:rPr>
          <w:rFonts w:ascii="Century Gothic" w:hAnsi="Century Gothic" w:cs="Courier New"/>
          <w:color w:val="1F497D" w:themeColor="text2"/>
          <w:sz w:val="24"/>
        </w:rPr>
        <w:t xml:space="preserve">del Processo Civile Telematico </w:t>
      </w:r>
      <w:r>
        <w:rPr>
          <w:rFonts w:ascii="Century Gothic" w:hAnsi="Century Gothic" w:cs="Courier New"/>
          <w:color w:val="1F497D" w:themeColor="text2"/>
          <w:sz w:val="24"/>
        </w:rPr>
        <w:t>in uso presso l’Agenzia in grado di garantire le stesse funzionalità della soluzione già presente, quali sono gli elementi che rappresentano i punti di forza di tali soluzioni, ovvero che costituiscono un limite alla partecipazione all’iniziativa in oggetto (es. costi ridotti, funzionalità/servizi aggiuntivi, etc.)?</w:t>
      </w:r>
    </w:p>
    <w:p w14:paraId="7C75FA07"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505D574" w14:textId="4BE5373A"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di gestione </w:t>
      </w:r>
      <w:r w:rsidR="00A826C5" w:rsidRPr="00A826C5">
        <w:rPr>
          <w:rFonts w:ascii="Century Gothic" w:hAnsi="Century Gothic" w:cs="Courier New"/>
          <w:color w:val="1F497D" w:themeColor="text2"/>
          <w:sz w:val="24"/>
        </w:rPr>
        <w:t xml:space="preserve">del Processo Civile Telematico </w:t>
      </w:r>
      <w:r>
        <w:rPr>
          <w:rFonts w:ascii="Century Gothic" w:hAnsi="Century Gothic" w:cs="Courier New"/>
          <w:color w:val="1F497D" w:themeColor="text2"/>
          <w:sz w:val="24"/>
        </w:rPr>
        <w:t xml:space="preserve">in uso presso l’Agenzia in grado di garantire le stesse funzionalità della soluzione </w:t>
      </w:r>
      <w:r>
        <w:rPr>
          <w:rFonts w:ascii="Century Gothic" w:hAnsi="Century Gothic" w:cs="Courier New"/>
          <w:color w:val="1F497D" w:themeColor="text2"/>
          <w:sz w:val="24"/>
        </w:rPr>
        <w:lastRenderedPageBreak/>
        <w:t xml:space="preserve">attualmente in uso, si chiede di descrivere le componenti chiave dei costi dei prodotti/servizi di tali soluzioni, fornendo un range di costo stimato per un tipico progetto di adozione della soluzione proposta, comprensivo di tutte le attività necessarie alla sostituzione (progetto “chiavi in mano”) ed importazione delle informazioni esistenti in formato aperto, per la durata </w:t>
      </w:r>
      <w:r w:rsidR="00257840">
        <w:rPr>
          <w:rFonts w:ascii="Century Gothic" w:hAnsi="Century Gothic" w:cs="Courier New"/>
          <w:color w:val="1F497D" w:themeColor="text2"/>
          <w:sz w:val="24"/>
        </w:rPr>
        <w:t>annuale</w:t>
      </w:r>
      <w:r>
        <w:rPr>
          <w:rFonts w:ascii="Century Gothic" w:hAnsi="Century Gothic" w:cs="Courier New"/>
          <w:color w:val="1F497D" w:themeColor="text2"/>
          <w:sz w:val="24"/>
        </w:rPr>
        <w:t xml:space="preserve">. </w:t>
      </w:r>
    </w:p>
    <w:p w14:paraId="5BDAA72B"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6E4C0944"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760C5E13" w14:textId="77777777"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In caso di eventuali soluzioni alternative rispetto a quella in uso, è prevista la disponibilità di un ambiente “demo” con credenziali temporanee, per verificarne le caratteristiche e le funzionalità?</w:t>
      </w:r>
    </w:p>
    <w:p w14:paraId="53820027" w14:textId="77777777" w:rsidR="005D0112"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3D4CBEBF"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14:paraId="443E726A" w14:textId="77777777"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può fornire ulteriori informazioni utili o suggerimenti per il miglior soddisfacimento del fabbisogno dell’Agenzia e/o dell’iniziativa d’acquisto necessaria?</w:t>
      </w:r>
    </w:p>
    <w:p w14:paraId="2AB81BDC"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7411881B"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5F9F750F"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035AA708" w14:textId="77777777" w:rsidR="005D0112" w:rsidRDefault="00C2086C" w:rsidP="00C2086C">
      <w:pPr>
        <w:spacing w:line="360" w:lineRule="auto"/>
        <w:ind w:left="567" w:right="565"/>
        <w:jc w:val="both"/>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sectPr w:rsidR="005D0112">
      <w:headerReference w:type="default" r:id="rId16"/>
      <w:footerReference w:type="default" r:id="rId17"/>
      <w:headerReference w:type="first" r:id="rId18"/>
      <w:footerReference w:type="first" r:id="rId19"/>
      <w:pgSz w:w="11906" w:h="16838"/>
      <w:pgMar w:top="1985" w:right="1418" w:bottom="1560" w:left="1134" w:header="709" w:footer="73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A50E9" w14:textId="77777777" w:rsidR="00375122" w:rsidRDefault="00375122">
      <w:pPr>
        <w:spacing w:after="0" w:line="240" w:lineRule="auto"/>
      </w:pPr>
      <w:r>
        <w:separator/>
      </w:r>
    </w:p>
  </w:endnote>
  <w:endnote w:type="continuationSeparator" w:id="0">
    <w:p w14:paraId="43A5DB8C" w14:textId="77777777" w:rsidR="00375122" w:rsidRDefault="00375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757435"/>
      <w:docPartObj>
        <w:docPartGallery w:val="Page Numbers (Bottom of Page)"/>
        <w:docPartUnique/>
      </w:docPartObj>
    </w:sdtPr>
    <w:sdtEndPr/>
    <w:sdtContent>
      <w:p w14:paraId="0863BA8F" w14:textId="77777777" w:rsidR="005D0112" w:rsidRDefault="00C2086C">
        <w:pPr>
          <w:pStyle w:val="Pidipagina"/>
          <w:jc w:val="right"/>
        </w:pPr>
        <w:r>
          <w:rPr>
            <w:rFonts w:ascii="Century Gothic" w:hAnsi="Century Gothic"/>
            <w:b/>
          </w:rPr>
          <w:fldChar w:fldCharType="begin"/>
        </w:r>
        <w:r>
          <w:rPr>
            <w:rFonts w:ascii="Century Gothic" w:hAnsi="Century Gothic"/>
            <w:b/>
            <w:noProof/>
            <w:lang w:eastAsia="it-IT"/>
          </w:rPr>
          <mc:AlternateContent>
            <mc:Choice Requires="wps">
              <w:drawing>
                <wp:anchor distT="0" distB="0" distL="0" distR="0" simplePos="0" relativeHeight="17" behindDoc="1" locked="0" layoutInCell="1" allowOverlap="1" wp14:anchorId="21CEEAC2" wp14:editId="1A10D72A">
                  <wp:simplePos x="0" y="0"/>
                  <wp:positionH relativeFrom="column">
                    <wp:posOffset>-718185</wp:posOffset>
                  </wp:positionH>
                  <wp:positionV relativeFrom="paragraph">
                    <wp:posOffset>77470</wp:posOffset>
                  </wp:positionV>
                  <wp:extent cx="6354445" cy="1270"/>
                  <wp:effectExtent l="38100" t="38100" r="66675" b="95250"/>
                  <wp:wrapNone/>
                  <wp:docPr id="8" name="Connettore 1 1"/>
                  <wp:cNvGraphicFramePr/>
                  <a:graphic xmlns:a="http://schemas.openxmlformats.org/drawingml/2006/main">
                    <a:graphicData uri="http://schemas.microsoft.com/office/word/2010/wordprocessingShape">
                      <wps:wsp>
                        <wps:cNvCnPr/>
                        <wps:spPr>
                          <a:xfrm>
                            <a:off x="0" y="0"/>
                            <a:ext cx="63536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55pt,6.1pt" to="443.7pt,6.1pt" ID="Connettore 1 1" stroked="t" style="position:absolute" wp14:anchorId="6B357FC2">
                  <v:stroke color="#f79646" weight="25560" joinstyle="round" endcap="flat"/>
                  <v:fill o:detectmouseclick="t" on="false"/>
                  <v:shadow on="t" obscured="f" color="black"/>
                </v:line>
              </w:pict>
            </mc:Fallback>
          </mc:AlternateContent>
        </w:r>
        <w:r>
          <w:rPr>
            <w:rFonts w:ascii="Century Gothic" w:hAnsi="Century Gothic"/>
            <w:b/>
            <w:noProof/>
            <w:lang w:eastAsia="it-IT"/>
          </w:rPr>
          <mc:AlternateContent>
            <mc:Choice Requires="wps">
              <w:drawing>
                <wp:anchor distT="0" distB="0" distL="0" distR="0" simplePos="0" relativeHeight="31" behindDoc="1" locked="0" layoutInCell="1" allowOverlap="1" wp14:anchorId="131B3310" wp14:editId="1582A742">
                  <wp:simplePos x="0" y="0"/>
                  <wp:positionH relativeFrom="column">
                    <wp:posOffset>6167120</wp:posOffset>
                  </wp:positionH>
                  <wp:positionV relativeFrom="paragraph">
                    <wp:posOffset>77470</wp:posOffset>
                  </wp:positionV>
                  <wp:extent cx="668020" cy="1270"/>
                  <wp:effectExtent l="38100" t="38100" r="57150" b="95250"/>
                  <wp:wrapNone/>
                  <wp:docPr id="9" name="Connettore 1 3"/>
                  <wp:cNvGraphicFramePr/>
                  <a:graphic xmlns:a="http://schemas.openxmlformats.org/drawingml/2006/main">
                    <a:graphicData uri="http://schemas.microsoft.com/office/word/2010/wordprocessingShape">
                      <wps:wsp>
                        <wps:cNvCnPr/>
                        <wps:spPr>
                          <a:xfrm>
                            <a:off x="0" y="0"/>
                            <a:ext cx="6674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485.6pt,6.1pt" to="538.1pt,6.1pt" ID="Connettore 1 3" stroked="t" style="position:absolute" wp14:anchorId="320363DD">
                  <v:stroke color="#f79646" weight="25560" joinstyle="round" endcap="flat"/>
                  <v:fill o:detectmouseclick="t" on="false"/>
                  <v:shadow on="t" obscured="f" color="black"/>
                </v:line>
              </w:pict>
            </mc:Fallback>
          </mc:AlternateContent>
        </w:r>
        <w:r>
          <w:instrText>PAGE</w:instrText>
        </w:r>
        <w:r>
          <w:fldChar w:fldCharType="separate"/>
        </w:r>
        <w:r>
          <w:t>15</w:t>
        </w:r>
        <w:r>
          <w:fldChar w:fldCharType="end"/>
        </w:r>
      </w:p>
    </w:sdtContent>
  </w:sdt>
  <w:p w14:paraId="74F8B06D" w14:textId="77777777" w:rsidR="005D0112" w:rsidRDefault="005D01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D2B5" w14:textId="77777777" w:rsidR="005D0112" w:rsidRDefault="005D0112">
    <w:pPr>
      <w:pStyle w:val="Pidipagina"/>
      <w:jc w:val="right"/>
    </w:pPr>
  </w:p>
  <w:p w14:paraId="23124911" w14:textId="77777777" w:rsidR="005D0112" w:rsidRDefault="005D0112">
    <w:pPr>
      <w:pStyle w:val="Pidipagina"/>
      <w:jc w:val="right"/>
    </w:pPr>
  </w:p>
  <w:p w14:paraId="0F89C674" w14:textId="77777777" w:rsidR="005D0112" w:rsidRDefault="00C2086C">
    <w:pPr>
      <w:pStyle w:val="Pidipagina"/>
      <w:jc w:val="right"/>
      <w:rPr>
        <w:rFonts w:ascii="Century Gothic" w:hAnsi="Century Gothic"/>
        <w:color w:val="1F497D" w:themeColor="text2"/>
      </w:rPr>
    </w:pPr>
    <w:r>
      <w:rPr>
        <w:rFonts w:ascii="Century Gothic" w:hAnsi="Century Gothic"/>
        <w:noProof/>
        <w:color w:val="1F497D" w:themeColor="text2"/>
        <w:lang w:eastAsia="it-IT"/>
      </w:rPr>
      <mc:AlternateContent>
        <mc:Choice Requires="wps">
          <w:drawing>
            <wp:anchor distT="0" distB="0" distL="0" distR="0" simplePos="0" relativeHeight="2" behindDoc="1" locked="0" layoutInCell="1" allowOverlap="1" wp14:anchorId="30CFFB53" wp14:editId="35E97E2A">
              <wp:simplePos x="0" y="0"/>
              <wp:positionH relativeFrom="column">
                <wp:posOffset>-718820</wp:posOffset>
              </wp:positionH>
              <wp:positionV relativeFrom="paragraph">
                <wp:posOffset>80010</wp:posOffset>
              </wp:positionV>
              <wp:extent cx="7567930" cy="1270"/>
              <wp:effectExtent l="38100" t="38100" r="53340" b="95250"/>
              <wp:wrapNone/>
              <wp:docPr id="10" name="Connettore 1 7"/>
              <wp:cNvGraphicFramePr/>
              <a:graphic xmlns:a="http://schemas.openxmlformats.org/drawingml/2006/main">
                <a:graphicData uri="http://schemas.microsoft.com/office/word/2010/wordprocessingShape">
                  <wps:wsp>
                    <wps:cNvCnPr/>
                    <wps:spPr>
                      <a:xfrm>
                        <a:off x="0" y="0"/>
                        <a:ext cx="756720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6pt,6.3pt" to="539.2pt,6.3pt" ID="Connettore 1 7" stroked="t" style="position:absolute" wp14:anchorId="065F6DF3">
              <v:stroke color="#f79646" weight="25560" joinstyle="round" endcap="flat"/>
              <v:fill o:detectmouseclick="t" on="false"/>
              <v:shadow on="t" obscured="f" color="black"/>
            </v:line>
          </w:pict>
        </mc:Fallback>
      </mc:AlternateContent>
    </w:r>
    <w:r>
      <w:rPr>
        <w:rFonts w:ascii="Century Gothic" w:hAnsi="Century Gothic"/>
        <w:noProof/>
        <w:color w:val="1F497D" w:themeColor="text2"/>
        <w:lang w:eastAsia="it-IT"/>
      </w:rPr>
      <mc:AlternateContent>
        <mc:Choice Requires="wps">
          <w:drawing>
            <wp:anchor distT="0" distB="0" distL="0" distR="0" simplePos="0" relativeHeight="3" behindDoc="1" locked="0" layoutInCell="1" allowOverlap="1" wp14:anchorId="5999D105" wp14:editId="7CF49CC2">
              <wp:simplePos x="0" y="0"/>
              <wp:positionH relativeFrom="column">
                <wp:posOffset>-706755</wp:posOffset>
              </wp:positionH>
              <wp:positionV relativeFrom="paragraph">
                <wp:posOffset>86360</wp:posOffset>
              </wp:positionV>
              <wp:extent cx="7554595" cy="696595"/>
              <wp:effectExtent l="0" t="0" r="0" b="0"/>
              <wp:wrapNone/>
              <wp:docPr id="11" name="Casella di testo 2"/>
              <wp:cNvGraphicFramePr/>
              <a:graphic xmlns:a="http://schemas.openxmlformats.org/drawingml/2006/main">
                <a:graphicData uri="http://schemas.microsoft.com/office/word/2010/wordprocessingShape">
                  <wps:wsp>
                    <wps:cNvSpPr/>
                    <wps:spPr>
                      <a:xfrm>
                        <a:off x="0" y="0"/>
                        <a:ext cx="7553880" cy="695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F2EA68D"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 xml:space="preserve">Agenzia delle </w:t>
                          </w:r>
                          <w:proofErr w:type="spellStart"/>
                          <w:r>
                            <w:rPr>
                              <w:rFonts w:ascii="Century Gothic" w:hAnsi="Century Gothic" w:cs="Arial"/>
                              <w:b/>
                              <w:color w:val="1F497D"/>
                              <w:sz w:val="16"/>
                              <w:szCs w:val="14"/>
                            </w:rPr>
                            <w:t>entrate-Riscossione</w:t>
                          </w:r>
                          <w:proofErr w:type="spellEnd"/>
                        </w:p>
                        <w:p w14:paraId="4BB8549A" w14:textId="70B7141A"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w:t>
                          </w:r>
                          <w:r w:rsidR="00257840">
                            <w:rPr>
                              <w:rFonts w:ascii="Century Gothic" w:hAnsi="Century Gothic" w:cs="Arial"/>
                              <w:color w:val="1F497D"/>
                              <w:sz w:val="16"/>
                              <w:szCs w:val="14"/>
                            </w:rPr>
                            <w:t>l’intero territorio nazionale</w:t>
                          </w:r>
                          <w:r>
                            <w:rPr>
                              <w:rFonts w:ascii="Century Gothic" w:hAnsi="Century Gothic" w:cs="Arial"/>
                              <w:color w:val="1F497D"/>
                              <w:sz w:val="16"/>
                              <w:szCs w:val="14"/>
                            </w:rPr>
                            <w:t xml:space="preserve"> </w:t>
                          </w:r>
                        </w:p>
                        <w:p w14:paraId="79926891"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w:t>
                          </w:r>
                          <w:proofErr w:type="gramStart"/>
                          <w:r>
                            <w:rPr>
                              <w:rFonts w:ascii="Century Gothic" w:hAnsi="Century Gothic" w:cs="Arial"/>
                              <w:color w:val="1F497D"/>
                              <w:sz w:val="16"/>
                              <w:szCs w:val="14"/>
                              <w:lang w:val="x-none"/>
                            </w:rPr>
                            <w:t xml:space="preserve">–  </w:t>
                          </w:r>
                          <w:r>
                            <w:rPr>
                              <w:rFonts w:ascii="Century Gothic" w:hAnsi="Century Gothic" w:cs="Arial"/>
                              <w:color w:val="1F497D"/>
                              <w:sz w:val="16"/>
                              <w:szCs w:val="14"/>
                            </w:rPr>
                            <w:t>00142</w:t>
                          </w:r>
                          <w:proofErr w:type="gramEnd"/>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00C26D9A"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3DF36837" w14:textId="77777777" w:rsidR="005D0112" w:rsidRDefault="005D0112">
                          <w:pPr>
                            <w:pStyle w:val="Contenutocornice"/>
                          </w:pPr>
                        </w:p>
                      </w:txbxContent>
                    </wps:txbx>
                    <wps:bodyPr>
                      <a:noAutofit/>
                    </wps:bodyPr>
                  </wps:wsp>
                </a:graphicData>
              </a:graphic>
            </wp:anchor>
          </w:drawing>
        </mc:Choice>
        <mc:Fallback>
          <w:pict>
            <v:rect w14:anchorId="5999D105" id="Casella di testo 2" o:spid="_x0000_s1026" style="position:absolute;left:0;text-align:left;margin-left:-55.65pt;margin-top:6.8pt;width:594.85pt;height:54.8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" filled="f" stroked="f" strokeweight=".26mm">
              <v:textbox>
                <w:txbxContent>
                  <w:p w14:paraId="4F2EA68D"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 xml:space="preserve">Agenzia delle </w:t>
                    </w:r>
                    <w:proofErr w:type="spellStart"/>
                    <w:r>
                      <w:rPr>
                        <w:rFonts w:ascii="Century Gothic" w:hAnsi="Century Gothic" w:cs="Arial"/>
                        <w:b/>
                        <w:color w:val="1F497D"/>
                        <w:sz w:val="16"/>
                        <w:szCs w:val="14"/>
                      </w:rPr>
                      <w:t>entrate-Riscossione</w:t>
                    </w:r>
                    <w:proofErr w:type="spellEnd"/>
                  </w:p>
                  <w:p w14:paraId="4BB8549A" w14:textId="70B7141A"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w:t>
                    </w:r>
                    <w:r w:rsidR="00257840">
                      <w:rPr>
                        <w:rFonts w:ascii="Century Gothic" w:hAnsi="Century Gothic" w:cs="Arial"/>
                        <w:color w:val="1F497D"/>
                        <w:sz w:val="16"/>
                        <w:szCs w:val="14"/>
                      </w:rPr>
                      <w:t>l’intero territorio nazionale</w:t>
                    </w:r>
                    <w:r>
                      <w:rPr>
                        <w:rFonts w:ascii="Century Gothic" w:hAnsi="Century Gothic" w:cs="Arial"/>
                        <w:color w:val="1F497D"/>
                        <w:sz w:val="16"/>
                        <w:szCs w:val="14"/>
                      </w:rPr>
                      <w:t xml:space="preserve"> </w:t>
                    </w:r>
                  </w:p>
                  <w:p w14:paraId="79926891"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w:t>
                    </w:r>
                    <w:proofErr w:type="gramStart"/>
                    <w:r>
                      <w:rPr>
                        <w:rFonts w:ascii="Century Gothic" w:hAnsi="Century Gothic" w:cs="Arial"/>
                        <w:color w:val="1F497D"/>
                        <w:sz w:val="16"/>
                        <w:szCs w:val="14"/>
                        <w:lang w:val="x-none"/>
                      </w:rPr>
                      <w:t xml:space="preserve">–  </w:t>
                    </w:r>
                    <w:r>
                      <w:rPr>
                        <w:rFonts w:ascii="Century Gothic" w:hAnsi="Century Gothic" w:cs="Arial"/>
                        <w:color w:val="1F497D"/>
                        <w:sz w:val="16"/>
                        <w:szCs w:val="14"/>
                      </w:rPr>
                      <w:t>00142</w:t>
                    </w:r>
                    <w:proofErr w:type="gramEnd"/>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00C26D9A"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3DF36837" w14:textId="77777777" w:rsidR="005D0112" w:rsidRDefault="005D0112">
                    <w:pPr>
                      <w:pStyle w:val="Contenutocornice"/>
                    </w:pPr>
                  </w:p>
                </w:txbxContent>
              </v:textbox>
            </v:rect>
          </w:pict>
        </mc:Fallback>
      </mc:AlternateContent>
    </w:r>
  </w:p>
  <w:p w14:paraId="338F093D" w14:textId="77777777" w:rsidR="005D0112" w:rsidRDefault="005D0112">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CA890" w14:textId="77777777" w:rsidR="00375122" w:rsidRDefault="00375122">
      <w:pPr>
        <w:spacing w:after="0" w:line="240" w:lineRule="auto"/>
      </w:pPr>
      <w:r>
        <w:separator/>
      </w:r>
    </w:p>
  </w:footnote>
  <w:footnote w:type="continuationSeparator" w:id="0">
    <w:p w14:paraId="05363D2F" w14:textId="77777777" w:rsidR="00375122" w:rsidRDefault="00375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8B5B" w14:textId="77777777" w:rsidR="005D0112" w:rsidRDefault="00C2086C">
    <w:pPr>
      <w:pStyle w:val="Intestazione"/>
    </w:pPr>
    <w:r>
      <w:rPr>
        <w:noProof/>
        <w:lang w:eastAsia="it-IT"/>
      </w:rPr>
      <mc:AlternateContent>
        <mc:Choice Requires="wps">
          <w:drawing>
            <wp:anchor distT="0" distB="0" distL="0" distR="0" simplePos="0" relativeHeight="48" behindDoc="1" locked="0" layoutInCell="1" allowOverlap="1" wp14:anchorId="6D613CE4" wp14:editId="4669ED71">
              <wp:simplePos x="0" y="0"/>
              <wp:positionH relativeFrom="column">
                <wp:posOffset>2011045</wp:posOffset>
              </wp:positionH>
              <wp:positionV relativeFrom="paragraph">
                <wp:posOffset>495935</wp:posOffset>
              </wp:positionV>
              <wp:extent cx="4830445" cy="1270"/>
              <wp:effectExtent l="38100" t="38100" r="66675" b="95250"/>
              <wp:wrapNone/>
              <wp:docPr id="2" name="Connettore 1 16"/>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158.35pt,39.05pt" to="538.6pt,39.05pt" ID="Connettore 1 16" stroked="t" style="position:absolute" wp14:anchorId="207CD264">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62" behindDoc="1" locked="0" layoutInCell="1" allowOverlap="1" wp14:anchorId="68C6D034" wp14:editId="2E2E5806">
              <wp:simplePos x="0" y="0"/>
              <wp:positionH relativeFrom="column">
                <wp:posOffset>-719455</wp:posOffset>
              </wp:positionH>
              <wp:positionV relativeFrom="paragraph">
                <wp:posOffset>492125</wp:posOffset>
              </wp:positionV>
              <wp:extent cx="601345" cy="1270"/>
              <wp:effectExtent l="38100" t="38100" r="66675" b="95250"/>
              <wp:wrapNone/>
              <wp:docPr id="3" name="Connettore 1 17"/>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7pt,38.75pt" to="-9.45pt,38.75pt" ID="Connettore 1 17" stroked="t" style="position:absolute" wp14:anchorId="6B2D383E">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76" behindDoc="1" locked="0" layoutInCell="1" allowOverlap="1" wp14:anchorId="42F39EB1" wp14:editId="171BD534">
              <wp:simplePos x="0" y="0"/>
              <wp:positionH relativeFrom="column">
                <wp:posOffset>73025</wp:posOffset>
              </wp:positionH>
              <wp:positionV relativeFrom="paragraph">
                <wp:posOffset>-50165</wp:posOffset>
              </wp:positionV>
              <wp:extent cx="1779270" cy="648970"/>
              <wp:effectExtent l="0" t="0" r="0" b="0"/>
              <wp:wrapNone/>
              <wp:docPr id="4" name="Immagine 25"/>
              <wp:cNvGraphicFramePr/>
              <a:graphic xmlns:a="http://schemas.openxmlformats.org/drawingml/2006/main">
                <a:graphicData uri="http://schemas.openxmlformats.org/drawingml/2006/picture">
                  <pic:pic xmlns:pic="http://schemas.openxmlformats.org/drawingml/2006/picture">
                    <pic:nvPicPr>
                      <pic:cNvPr id="0" name="Immagine 25"/>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mc:Choice>
        <mc:Fallback>
          <w:pict>
            <v:rect id="shape_0" ID="Immagine 25" stroked="f" style="position:absolute;margin-left:5.75pt;margin-top:-3.95pt;width:140pt;height:51pt" wp14:anchorId="0E95B3AC">
              <v:imagedata r:id="rId3" o:detectmouseclick="t"/>
              <w10:wrap type="none"/>
              <v:stroke color="#3465a4" joinstyle="round" endcap="flat"/>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5AFC" w14:textId="77777777" w:rsidR="005D0112" w:rsidRDefault="00C2086C">
    <w:pPr>
      <w:pStyle w:val="Intestazione"/>
    </w:pPr>
    <w:r>
      <w:rPr>
        <w:noProof/>
        <w:lang w:eastAsia="it-IT"/>
      </w:rPr>
      <mc:AlternateContent>
        <mc:Choice Requires="wps">
          <w:drawing>
            <wp:anchor distT="0" distB="0" distL="0" distR="0" simplePos="0" relativeHeight="32" behindDoc="1" locked="0" layoutInCell="1" allowOverlap="1" wp14:anchorId="50575C87" wp14:editId="428580CF">
              <wp:simplePos x="0" y="0"/>
              <wp:positionH relativeFrom="column">
                <wp:posOffset>2012315</wp:posOffset>
              </wp:positionH>
              <wp:positionV relativeFrom="paragraph">
                <wp:posOffset>506095</wp:posOffset>
              </wp:positionV>
              <wp:extent cx="4830445" cy="1270"/>
              <wp:effectExtent l="38100" t="38100" r="66675" b="95250"/>
              <wp:wrapNone/>
              <wp:docPr id="5" name="Connettore 1 8"/>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158.45pt,39.85pt" to="538.7pt,39.85pt" ID="Connettore 1 8" stroked="t" style="position:absolute" wp14:anchorId="217DECF6">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33" behindDoc="1" locked="0" layoutInCell="1" allowOverlap="1" wp14:anchorId="16AB4FE8" wp14:editId="45252E6E">
              <wp:simplePos x="0" y="0"/>
              <wp:positionH relativeFrom="column">
                <wp:posOffset>-718185</wp:posOffset>
              </wp:positionH>
              <wp:positionV relativeFrom="paragraph">
                <wp:posOffset>502285</wp:posOffset>
              </wp:positionV>
              <wp:extent cx="601345" cy="1270"/>
              <wp:effectExtent l="38100" t="38100" r="66675" b="95250"/>
              <wp:wrapNone/>
              <wp:docPr id="6" name="Connettore 1 14"/>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6pt,39.55pt" to="-9.35pt,39.55pt" ID="Connettore 1 14" stroked="t" style="position:absolute" wp14:anchorId="329C9E9E">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34" behindDoc="1" locked="0" layoutInCell="1" allowOverlap="1" wp14:anchorId="3E72FFD0" wp14:editId="5CCC9DD6">
              <wp:simplePos x="0" y="0"/>
              <wp:positionH relativeFrom="column">
                <wp:posOffset>74295</wp:posOffset>
              </wp:positionH>
              <wp:positionV relativeFrom="paragraph">
                <wp:posOffset>-43815</wp:posOffset>
              </wp:positionV>
              <wp:extent cx="1779270" cy="648970"/>
              <wp:effectExtent l="0" t="0" r="0" b="0"/>
              <wp:wrapNone/>
              <wp:docPr id="7" name="Immagine 26"/>
              <wp:cNvGraphicFramePr/>
              <a:graphic xmlns:a="http://schemas.openxmlformats.org/drawingml/2006/main">
                <a:graphicData uri="http://schemas.openxmlformats.org/drawingml/2006/picture">
                  <pic:pic xmlns:pic="http://schemas.openxmlformats.org/drawingml/2006/picture">
                    <pic:nvPicPr>
                      <pic:cNvPr id="1" name="Immagine 26"/>
                      <pic:cNvPicPr/>
                    </pic:nvPicPr>
                    <pic:blipFill>
                      <a:blip r:embed="rId1">
                        <a:extLst>
                          <a:ext uri="{BEBA8EAE-BF5A-486C-A8C5-ECC9F3942E4B}">
                            <a14:imgProps xmlns:a14="http://schemas.microsoft.com/office/drawing/2010/main">
                              <a14:imgLayer>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mc:Choice>
        <mc:Fallback>
          <w:pict>
            <v:rect id="shape_0" ID="Immagine 26" stroked="f" style="position:absolute;margin-left:5.85pt;margin-top:-3.45pt;width:140pt;height:51pt" wp14:anchorId="240B82F0">
              <v:imagedata r:id="rId2" o:detectmouseclick="t"/>
              <w10:wrap type="none"/>
              <v:stroke color="#3465a4" joinstyle="round" endcap="fla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3CF"/>
    <w:multiLevelType w:val="multilevel"/>
    <w:tmpl w:val="9126D9AE"/>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1" w15:restartNumberingAfterBreak="0">
    <w:nsid w:val="0314444B"/>
    <w:multiLevelType w:val="hybridMultilevel"/>
    <w:tmpl w:val="51AED85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0A2D1169"/>
    <w:multiLevelType w:val="multilevel"/>
    <w:tmpl w:val="40E4DDF8"/>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3" w15:restartNumberingAfterBreak="0">
    <w:nsid w:val="132106A4"/>
    <w:multiLevelType w:val="multilevel"/>
    <w:tmpl w:val="BDD8BF98"/>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4" w15:restartNumberingAfterBreak="0">
    <w:nsid w:val="13A9006F"/>
    <w:multiLevelType w:val="multilevel"/>
    <w:tmpl w:val="AF1C3CFA"/>
    <w:lvl w:ilvl="0">
      <w:start w:val="1"/>
      <w:numFmt w:val="bullet"/>
      <w:lvlText w:val=""/>
      <w:lvlJc w:val="left"/>
      <w:pPr>
        <w:tabs>
          <w:tab w:val="num" w:pos="1287"/>
        </w:tabs>
        <w:ind w:left="1287" w:hanging="360"/>
      </w:pPr>
      <w:rPr>
        <w:rFonts w:ascii="Symbol" w:hAnsi="Symbol" w:cs="OpenSymbol" w:hint="default"/>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5" w15:restartNumberingAfterBreak="0">
    <w:nsid w:val="33271B89"/>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6" w15:restartNumberingAfterBreak="0">
    <w:nsid w:val="55D51C07"/>
    <w:multiLevelType w:val="multilevel"/>
    <w:tmpl w:val="E5963C48"/>
    <w:lvl w:ilvl="0">
      <w:start w:val="1"/>
      <w:numFmt w:val="bullet"/>
      <w:lvlText w:val=""/>
      <w:lvlJc w:val="left"/>
      <w:pPr>
        <w:tabs>
          <w:tab w:val="num" w:pos="1344"/>
        </w:tabs>
        <w:ind w:left="1344" w:hanging="360"/>
      </w:pPr>
      <w:rPr>
        <w:rFonts w:ascii="Symbol" w:hAnsi="Symbol" w:cs="OpenSymbol" w:hint="default"/>
        <w:sz w:val="20"/>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7" w15:restartNumberingAfterBreak="0">
    <w:nsid w:val="579D6BFC"/>
    <w:multiLevelType w:val="multilevel"/>
    <w:tmpl w:val="D7428A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CE75F92"/>
    <w:multiLevelType w:val="multilevel"/>
    <w:tmpl w:val="836A0B92"/>
    <w:lvl w:ilvl="0">
      <w:start w:val="1"/>
      <w:numFmt w:val="bullet"/>
      <w:lvlText w:val=""/>
      <w:lvlJc w:val="left"/>
      <w:pPr>
        <w:ind w:left="1068" w:hanging="360"/>
      </w:pPr>
      <w:rPr>
        <w:rFonts w:ascii="Symbol" w:hAnsi="Symbol" w:cs="Symbol"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9" w15:restartNumberingAfterBreak="0">
    <w:nsid w:val="5D0002A1"/>
    <w:multiLevelType w:val="hybridMultilevel"/>
    <w:tmpl w:val="F2B49DD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0" w15:restartNumberingAfterBreak="0">
    <w:nsid w:val="68280114"/>
    <w:multiLevelType w:val="multilevel"/>
    <w:tmpl w:val="1216580A"/>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11" w15:restartNumberingAfterBreak="0">
    <w:nsid w:val="697E528B"/>
    <w:multiLevelType w:val="multilevel"/>
    <w:tmpl w:val="E9E805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4E5713"/>
    <w:multiLevelType w:val="hybridMultilevel"/>
    <w:tmpl w:val="649634E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752D7ECE"/>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14" w15:restartNumberingAfterBreak="0">
    <w:nsid w:val="7D8F247C"/>
    <w:multiLevelType w:val="hybridMultilevel"/>
    <w:tmpl w:val="8F122F5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16cid:durableId="1141456623">
    <w:abstractNumId w:val="11"/>
  </w:num>
  <w:num w:numId="2" w16cid:durableId="1725787982">
    <w:abstractNumId w:val="8"/>
  </w:num>
  <w:num w:numId="3" w16cid:durableId="394855748">
    <w:abstractNumId w:val="5"/>
  </w:num>
  <w:num w:numId="4" w16cid:durableId="935096014">
    <w:abstractNumId w:val="4"/>
  </w:num>
  <w:num w:numId="5" w16cid:durableId="1776051491">
    <w:abstractNumId w:val="10"/>
  </w:num>
  <w:num w:numId="6" w16cid:durableId="698163505">
    <w:abstractNumId w:val="2"/>
  </w:num>
  <w:num w:numId="7" w16cid:durableId="989139630">
    <w:abstractNumId w:val="0"/>
  </w:num>
  <w:num w:numId="8" w16cid:durableId="1814833462">
    <w:abstractNumId w:val="6"/>
  </w:num>
  <w:num w:numId="9" w16cid:durableId="895554465">
    <w:abstractNumId w:val="3"/>
  </w:num>
  <w:num w:numId="10" w16cid:durableId="119424177">
    <w:abstractNumId w:val="7"/>
  </w:num>
  <w:num w:numId="11" w16cid:durableId="1861123292">
    <w:abstractNumId w:val="9"/>
  </w:num>
  <w:num w:numId="12" w16cid:durableId="1778406849">
    <w:abstractNumId w:val="1"/>
  </w:num>
  <w:num w:numId="13" w16cid:durableId="1426727821">
    <w:abstractNumId w:val="13"/>
  </w:num>
  <w:num w:numId="14" w16cid:durableId="1375042431">
    <w:abstractNumId w:val="14"/>
  </w:num>
  <w:num w:numId="15" w16cid:durableId="3530019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12"/>
    <w:rsid w:val="00091D16"/>
    <w:rsid w:val="00093A8C"/>
    <w:rsid w:val="000C248C"/>
    <w:rsid w:val="000D08F7"/>
    <w:rsid w:val="000D3841"/>
    <w:rsid w:val="000F7382"/>
    <w:rsid w:val="00136CE2"/>
    <w:rsid w:val="00197DBA"/>
    <w:rsid w:val="00257840"/>
    <w:rsid w:val="0030611A"/>
    <w:rsid w:val="003469EA"/>
    <w:rsid w:val="00375122"/>
    <w:rsid w:val="00437365"/>
    <w:rsid w:val="00444BDF"/>
    <w:rsid w:val="00467198"/>
    <w:rsid w:val="004D1B0C"/>
    <w:rsid w:val="004E087D"/>
    <w:rsid w:val="00500DDB"/>
    <w:rsid w:val="0051195C"/>
    <w:rsid w:val="005272AB"/>
    <w:rsid w:val="005855AC"/>
    <w:rsid w:val="005B587F"/>
    <w:rsid w:val="005C5873"/>
    <w:rsid w:val="005D0112"/>
    <w:rsid w:val="00600E77"/>
    <w:rsid w:val="00646C9A"/>
    <w:rsid w:val="0065067B"/>
    <w:rsid w:val="00661473"/>
    <w:rsid w:val="00666F6B"/>
    <w:rsid w:val="00677805"/>
    <w:rsid w:val="006B7979"/>
    <w:rsid w:val="00702485"/>
    <w:rsid w:val="00747B66"/>
    <w:rsid w:val="007B0336"/>
    <w:rsid w:val="007B6FB5"/>
    <w:rsid w:val="008D0E34"/>
    <w:rsid w:val="00902241"/>
    <w:rsid w:val="009D22F4"/>
    <w:rsid w:val="009D7A32"/>
    <w:rsid w:val="009E5AFD"/>
    <w:rsid w:val="009F2F2C"/>
    <w:rsid w:val="00A826C5"/>
    <w:rsid w:val="00AE30F1"/>
    <w:rsid w:val="00AE6548"/>
    <w:rsid w:val="00AF1ADA"/>
    <w:rsid w:val="00B37696"/>
    <w:rsid w:val="00BC0A41"/>
    <w:rsid w:val="00C077E2"/>
    <w:rsid w:val="00C2086C"/>
    <w:rsid w:val="00C26EF2"/>
    <w:rsid w:val="00C77D26"/>
    <w:rsid w:val="00C94793"/>
    <w:rsid w:val="00CF1FA7"/>
    <w:rsid w:val="00D37BA9"/>
    <w:rsid w:val="00D736D5"/>
    <w:rsid w:val="00DA597B"/>
    <w:rsid w:val="00EA00D1"/>
    <w:rsid w:val="00EC2B63"/>
    <w:rsid w:val="00ED7389"/>
    <w:rsid w:val="00F02E72"/>
    <w:rsid w:val="00FA4E84"/>
    <w:rsid w:val="00FD1416"/>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E4285"/>
  <w15:docId w15:val="{4DB014A6-6D92-46A2-8F09-0644FBAC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4A85"/>
    <w:pPr>
      <w:spacing w:after="200" w:line="276" w:lineRule="auto"/>
    </w:pPr>
    <w:rPr>
      <w:color w:val="00000A"/>
      <w:sz w:val="22"/>
    </w:rPr>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361F6"/>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881019"/>
  </w:style>
  <w:style w:type="character" w:customStyle="1" w:styleId="PidipaginaCarattere">
    <w:name w:val="Piè di pagina Carattere"/>
    <w:basedOn w:val="Carpredefinitoparagrafo"/>
    <w:link w:val="Pidipagina"/>
    <w:uiPriority w:val="99"/>
    <w:qFormat/>
    <w:rsid w:val="00881019"/>
  </w:style>
  <w:style w:type="character" w:customStyle="1" w:styleId="CollegamentoInternet">
    <w:name w:val="Collegamento Internet"/>
    <w:basedOn w:val="Carpredefinitoparagrafo"/>
    <w:uiPriority w:val="99"/>
    <w:unhideWhenUsed/>
    <w:rsid w:val="0070009C"/>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qFormat/>
    <w:rsid w:val="00F37501"/>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F37501"/>
    <w:rPr>
      <w:vertAlign w:val="superscript"/>
    </w:rPr>
  </w:style>
  <w:style w:type="character" w:styleId="Rimandocommento">
    <w:name w:val="annotation reference"/>
    <w:semiHidden/>
    <w:qFormat/>
    <w:rsid w:val="009864D1"/>
    <w:rPr>
      <w:sz w:val="16"/>
      <w:szCs w:val="16"/>
    </w:rPr>
  </w:style>
  <w:style w:type="character" w:customStyle="1" w:styleId="TestocommentoCarattere">
    <w:name w:val="Testo commento Carattere"/>
    <w:basedOn w:val="Carpredefinitoparagrafo"/>
    <w:link w:val="Testocommento"/>
    <w:semiHidden/>
    <w:qFormat/>
    <w:rsid w:val="009864D1"/>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C1044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qFormat/>
    <w:rsid w:val="00562EAB"/>
    <w:rPr>
      <w:rFonts w:asciiTheme="majorHAnsi" w:eastAsiaTheme="majorEastAsia" w:hAnsiTheme="majorHAnsi" w:cstheme="majorBidi"/>
      <w:color w:val="365F91" w:themeColor="accent1" w:themeShade="BF"/>
      <w:sz w:val="26"/>
      <w:szCs w:val="26"/>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Century Gothic" w:hAnsi="Century Gothic"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Century Gothic" w:hAnsi="Century Gothic" w:cs="OpenSymbol"/>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entury Gothic" w:hAnsi="Century Gothic"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Testofumetto">
    <w:name w:val="Balloon Text"/>
    <w:basedOn w:val="Normale"/>
    <w:link w:val="TestofumettoCarattere"/>
    <w:uiPriority w:val="99"/>
    <w:semiHidden/>
    <w:unhideWhenUsed/>
    <w:qFormat/>
    <w:rsid w:val="00B361F6"/>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semiHidden/>
    <w:qFormat/>
    <w:rsid w:val="009864D1"/>
    <w:pPr>
      <w:spacing w:after="0" w:line="240" w:lineRule="auto"/>
    </w:pPr>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paragraph" w:customStyle="1" w:styleId="Textbody">
    <w:name w:val="Text body"/>
    <w:basedOn w:val="Normale"/>
    <w:qFormat/>
    <w:rsid w:val="00CB77D5"/>
    <w:pPr>
      <w:widowControl w:val="0"/>
      <w:suppressAutoHyphens/>
      <w:spacing w:after="120" w:line="240" w:lineRule="auto"/>
      <w:textAlignment w:val="baseline"/>
    </w:pPr>
    <w:rPr>
      <w:rFonts w:ascii="Times New Roman" w:eastAsia="Lucida Sans Unicode" w:hAnsi="Times New Roman" w:cs="Tahoma"/>
      <w:kern w:val="2"/>
      <w:sz w:val="24"/>
      <w:szCs w:val="24"/>
      <w:lang w:eastAsia="it-IT"/>
    </w:rPr>
  </w:style>
  <w:style w:type="paragraph" w:styleId="Soggettocommento">
    <w:name w:val="annotation subject"/>
    <w:basedOn w:val="Testocommento"/>
    <w:link w:val="SoggettocommentoCarattere"/>
    <w:uiPriority w:val="99"/>
    <w:semiHidden/>
    <w:unhideWhenUsed/>
    <w:qFormat/>
    <w:rsid w:val="00C10442"/>
    <w:pPr>
      <w:spacing w:after="200"/>
    </w:pPr>
    <w:rPr>
      <w:rFonts w:asciiTheme="minorHAnsi" w:eastAsiaTheme="minorHAnsi" w:hAnsiTheme="minorHAnsi" w:cstheme="minorBidi"/>
      <w:b/>
      <w:bCs/>
      <w:lang w:eastAsia="en-US"/>
    </w:rPr>
  </w:style>
  <w:style w:type="paragraph" w:customStyle="1" w:styleId="Default">
    <w:name w:val="Default"/>
    <w:qFormat/>
    <w:rsid w:val="00C10442"/>
    <w:rPr>
      <w:rFonts w:ascii="Arial" w:eastAsia="Calibri" w:hAnsi="Arial" w:cs="Arial"/>
      <w:color w:val="000000"/>
      <w:sz w:val="24"/>
      <w:szCs w:val="24"/>
      <w:lang w:eastAsia="it-IT"/>
    </w:rPr>
  </w:style>
  <w:style w:type="paragraph" w:styleId="Revisione">
    <w:name w:val="Revision"/>
    <w:uiPriority w:val="99"/>
    <w:semiHidden/>
    <w:qFormat/>
    <w:rsid w:val="00FC5D15"/>
    <w:rPr>
      <w:color w:val="00000A"/>
      <w:sz w:val="22"/>
    </w:rPr>
  </w:style>
  <w:style w:type="paragraph" w:customStyle="1" w:styleId="Contenutocornice">
    <w:name w:val="Contenuto cornice"/>
    <w:basedOn w:val="Normale"/>
    <w:qFormat/>
  </w:style>
  <w:style w:type="table" w:styleId="Grigliatabella">
    <w:name w:val="Table Grid"/>
    <w:basedOn w:val="Tabellanormale"/>
    <w:uiPriority w:val="59"/>
    <w:rsid w:val="00036B3F"/>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7444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llegamentoipertestuale">
    <w:name w:val="Hyperlink"/>
    <w:basedOn w:val="Carpredefinitoparagrafo"/>
    <w:uiPriority w:val="99"/>
    <w:unhideWhenUsed/>
    <w:rsid w:val="00C077E2"/>
    <w:rPr>
      <w:color w:val="0000FF" w:themeColor="hyperlink"/>
      <w:u w:val="single"/>
    </w:rPr>
  </w:style>
  <w:style w:type="character" w:styleId="Menzionenonrisolta">
    <w:name w:val="Unresolved Mention"/>
    <w:basedOn w:val="Carpredefinitoparagrafo"/>
    <w:uiPriority w:val="99"/>
    <w:semiHidden/>
    <w:unhideWhenUsed/>
    <w:rsid w:val="00C07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452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2.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4.xml><?xml version="1.0" encoding="utf-8"?>
<ds:datastoreItem xmlns:ds="http://schemas.openxmlformats.org/officeDocument/2006/customXml" ds:itemID="{68E47A5F-96B0-4E00-A775-A06241D1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3092</Words>
  <Characters>17627</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subject/>
  <dc:creator>RUTILI SILVIA</dc:creator>
  <dc:description/>
  <cp:lastModifiedBy>SGC</cp:lastModifiedBy>
  <cp:revision>3</cp:revision>
  <cp:lastPrinted>2019-07-11T07:03:00Z</cp:lastPrinted>
  <dcterms:created xsi:type="dcterms:W3CDTF">2023-03-10T09:42:00Z</dcterms:created>
  <dcterms:modified xsi:type="dcterms:W3CDTF">2023-03-10T09:42:00Z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Equitalia SUD</vt:lpwstr>
  </property>
  <property fmtid="{D5CDD505-2E9C-101B-9397-08002B2CF9AE}" pid="4" name="ContentTypeId">
    <vt:lpwstr>0x0101002B32018E1A36604F9B1A995A27E51094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TagNormativaAziendale">
    <vt:lpwstr/>
  </property>
</Properties>
</file>