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11031146">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rsidR="005D0112" w:rsidRDefault="005D0112">
      <w:pPr>
        <w:ind w:left="567" w:right="565"/>
        <w:jc w:val="both"/>
        <w:rPr>
          <w:rFonts w:ascii="Century Gothic" w:hAnsi="Century Gothic" w:cs="Courier New"/>
          <w:color w:val="1F497D" w:themeColor="text2"/>
          <w:sz w:val="24"/>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il </w:t>
      </w:r>
      <w:r w:rsidR="00661473">
        <w:rPr>
          <w:rFonts w:ascii="Century Gothic" w:hAnsi="Century Gothic" w:cs="Courier New"/>
          <w:b/>
          <w:color w:val="1F497D" w:themeColor="text2"/>
          <w:sz w:val="28"/>
        </w:rPr>
        <w:t>r</w:t>
      </w:r>
      <w:r w:rsidR="00661473" w:rsidRPr="00661473">
        <w:rPr>
          <w:rFonts w:ascii="Century Gothic" w:hAnsi="Century Gothic" w:cs="Courier New"/>
          <w:b/>
          <w:color w:val="1F497D" w:themeColor="text2"/>
          <w:sz w:val="28"/>
        </w:rPr>
        <w:t xml:space="preserve">innovo </w:t>
      </w:r>
      <w:r w:rsidR="00CF1FA7">
        <w:rPr>
          <w:rFonts w:ascii="Century Gothic" w:hAnsi="Century Gothic" w:cs="Courier New"/>
          <w:b/>
          <w:color w:val="1F497D" w:themeColor="text2"/>
          <w:sz w:val="28"/>
        </w:rPr>
        <w:t xml:space="preserve">della soluzione informatica </w:t>
      </w:r>
      <w:r w:rsidR="00CF1FA7" w:rsidRPr="00CF1FA7">
        <w:rPr>
          <w:rFonts w:ascii="Century Gothic" w:hAnsi="Century Gothic" w:cs="Courier New"/>
          <w:b/>
          <w:color w:val="1F497D" w:themeColor="text2"/>
          <w:sz w:val="28"/>
        </w:rPr>
        <w:t xml:space="preserve">per la gestione, secondo la normativa </w:t>
      </w:r>
      <w:r w:rsidR="00CF1FA7">
        <w:rPr>
          <w:rFonts w:ascii="Century Gothic" w:hAnsi="Century Gothic" w:cs="Courier New"/>
          <w:b/>
          <w:color w:val="1F497D" w:themeColor="text2"/>
          <w:sz w:val="28"/>
        </w:rPr>
        <w:t>vigente</w:t>
      </w:r>
      <w:r w:rsidR="00CF1FA7" w:rsidRPr="00CF1FA7">
        <w:rPr>
          <w:rFonts w:ascii="Century Gothic" w:hAnsi="Century Gothic" w:cs="Courier New"/>
          <w:b/>
          <w:color w:val="1F497D" w:themeColor="text2"/>
          <w:sz w:val="28"/>
        </w:rPr>
        <w:t>, della relazione con il sistema del Processo Civile Telematico del Ministero di Giustizia</w:t>
      </w: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5D0112" w:rsidRDefault="00DB4003">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rsidR="005D0112" w:rsidRDefault="00C2086C">
      <w:pPr>
        <w:ind w:left="567" w:right="565" w:firstLine="567"/>
        <w:jc w:val="both"/>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(di seguito anche solo Agenzia)</w:t>
      </w:r>
      <w:r w:rsidR="00702485">
        <w:rPr>
          <w:rFonts w:ascii="Century Gothic" w:hAnsi="Century Gothic" w:cs="Courier New"/>
          <w:color w:val="1F497D" w:themeColor="text2"/>
          <w:sz w:val="24"/>
        </w:rPr>
        <w:t>, per la gestione del Processo Civile Telematico</w:t>
      </w:r>
      <w:r w:rsidR="00C077E2">
        <w:rPr>
          <w:rFonts w:ascii="Century Gothic" w:hAnsi="Century Gothic" w:cs="Courier New"/>
          <w:color w:val="1F497D" w:themeColor="text2"/>
          <w:sz w:val="24"/>
        </w:rPr>
        <w:t xml:space="preserve"> (di seguito anche solo PCT)</w:t>
      </w:r>
      <w:r w:rsidR="00702485">
        <w:rPr>
          <w:rFonts w:ascii="Century Gothic" w:hAnsi="Century Gothic" w:cs="Courier New"/>
          <w:color w:val="1F497D" w:themeColor="text2"/>
          <w:sz w:val="24"/>
        </w:rPr>
        <w:t xml:space="preserve">, si avvale dell’utilizzo </w:t>
      </w:r>
      <w:r w:rsidR="00C077E2">
        <w:rPr>
          <w:rFonts w:ascii="Century Gothic" w:hAnsi="Century Gothic" w:cs="Courier New"/>
          <w:color w:val="1F497D" w:themeColor="text2"/>
          <w:sz w:val="24"/>
        </w:rPr>
        <w:t>della soluzione informatica</w:t>
      </w:r>
      <w:r w:rsidR="00702485">
        <w:rPr>
          <w:rFonts w:ascii="Century Gothic" w:hAnsi="Century Gothic" w:cs="Courier New"/>
          <w:color w:val="1F497D" w:themeColor="text2"/>
          <w:sz w:val="24"/>
        </w:rPr>
        <w:t xml:space="preserve"> “Easy Telematico Enti” ed </w:t>
      </w:r>
      <w:r>
        <w:rPr>
          <w:rFonts w:ascii="Century Gothic" w:hAnsi="Century Gothic" w:cs="Courier New"/>
          <w:color w:val="1F497D" w:themeColor="text2"/>
          <w:sz w:val="24"/>
        </w:rPr>
        <w:t xml:space="preserve">intende procedere al </w:t>
      </w:r>
      <w:r w:rsidR="00661473">
        <w:rPr>
          <w:rFonts w:ascii="Century Gothic" w:hAnsi="Century Gothic" w:cs="Courier New"/>
          <w:color w:val="1F497D" w:themeColor="text2"/>
          <w:sz w:val="24"/>
        </w:rPr>
        <w:t>r</w:t>
      </w:r>
      <w:r w:rsidR="00661473" w:rsidRPr="00661473">
        <w:rPr>
          <w:rFonts w:ascii="Century Gothic" w:hAnsi="Century Gothic" w:cs="Courier New"/>
          <w:color w:val="1F497D" w:themeColor="text2"/>
          <w:sz w:val="24"/>
        </w:rPr>
        <w:t>innovo licenze software e servizi di manutenzione</w:t>
      </w:r>
      <w:r w:rsidR="00C077E2">
        <w:rPr>
          <w:rFonts w:ascii="Century Gothic" w:hAnsi="Century Gothic" w:cs="Courier New"/>
          <w:color w:val="1F497D" w:themeColor="text2"/>
          <w:sz w:val="24"/>
        </w:rPr>
        <w:t>,</w:t>
      </w:r>
      <w:r w:rsidR="00661473" w:rsidRPr="00661473">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ai sensi dell’art. 66 comma 1 del D. Lgs 50/2016, al fine di verificare se tali licenze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documento dovrà essere </w:t>
      </w:r>
      <w:proofErr w:type="spellStart"/>
      <w:r>
        <w:rPr>
          <w:rFonts w:ascii="Century Gothic" w:hAnsi="Century Gothic" w:cs="Courier New"/>
          <w:color w:val="1F497D" w:themeColor="text2"/>
          <w:sz w:val="24"/>
        </w:rPr>
        <w:t>inviato</w:t>
      </w:r>
      <w:proofErr w:type="spellEnd"/>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rsidR="005D0112" w:rsidRDefault="005D0112">
      <w:pPr>
        <w:ind w:left="567" w:right="565"/>
        <w:jc w:val="both"/>
        <w:rPr>
          <w:rFonts w:ascii="Century Gothic" w:hAnsi="Century Gothic" w:cs="Courier New"/>
          <w:b/>
          <w:bCs/>
          <w:color w:val="1F497D" w:themeColor="text2"/>
          <w:sz w:val="24"/>
        </w:rPr>
      </w:pPr>
    </w:p>
    <w:p w:rsidR="00437365" w:rsidRDefault="00C2086C">
      <w:pPr>
        <w:ind w:left="567" w:right="565"/>
        <w:jc w:val="both"/>
        <w:rPr>
          <w:rFonts w:ascii="Century Gothic" w:hAnsi="Century Gothic" w:cs="Courier New"/>
          <w:b/>
          <w:color w:val="1F497D" w:themeColor="text2"/>
          <w:sz w:val="24"/>
        </w:rPr>
      </w:pPr>
      <w:r w:rsidRPr="009D7A32">
        <w:rPr>
          <w:rFonts w:ascii="Century Gothic" w:hAnsi="Century Gothic" w:cs="Courier New"/>
          <w:color w:val="1F497D" w:themeColor="text2"/>
          <w:sz w:val="24"/>
        </w:rPr>
        <w:t xml:space="preserve">Roma, </w:t>
      </w:r>
      <w:r w:rsidR="00437365">
        <w:rPr>
          <w:rFonts w:ascii="Century Gothic" w:hAnsi="Century Gothic" w:cs="Courier New"/>
          <w:b/>
          <w:color w:val="1F497D" w:themeColor="text2"/>
          <w:sz w:val="24"/>
        </w:rPr>
        <w:t>0</w:t>
      </w:r>
      <w:r w:rsidR="000F7382">
        <w:rPr>
          <w:rFonts w:ascii="Century Gothic" w:hAnsi="Century Gothic" w:cs="Courier New"/>
          <w:b/>
          <w:color w:val="1F497D" w:themeColor="text2"/>
          <w:sz w:val="24"/>
        </w:rPr>
        <w:t>5</w:t>
      </w:r>
      <w:bookmarkStart w:id="1" w:name="_GoBack"/>
      <w:bookmarkEnd w:id="1"/>
      <w:r w:rsidR="00091D16">
        <w:rPr>
          <w:rFonts w:ascii="Century Gothic" w:hAnsi="Century Gothic" w:cs="Courier New"/>
          <w:b/>
          <w:color w:val="1F497D" w:themeColor="text2"/>
          <w:sz w:val="24"/>
        </w:rPr>
        <w:t>/</w:t>
      </w:r>
      <w:r w:rsidR="00437365">
        <w:rPr>
          <w:rFonts w:ascii="Century Gothic" w:hAnsi="Century Gothic" w:cs="Courier New"/>
          <w:b/>
          <w:color w:val="1F497D" w:themeColor="text2"/>
          <w:sz w:val="24"/>
        </w:rPr>
        <w:t>03</w:t>
      </w:r>
      <w:r w:rsidR="00091D16">
        <w:rPr>
          <w:rFonts w:ascii="Century Gothic" w:hAnsi="Century Gothic" w:cs="Courier New"/>
          <w:b/>
          <w:color w:val="1F497D" w:themeColor="text2"/>
          <w:sz w:val="24"/>
        </w:rPr>
        <w:t>/2020</w:t>
      </w:r>
    </w:p>
    <w:p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bl>
    <w:p w:rsidR="005D0112" w:rsidRDefault="005D0112">
      <w:pPr>
        <w:ind w:left="567" w:right="565"/>
        <w:jc w:val="both"/>
        <w:rPr>
          <w:rFonts w:ascii="Century Gothic" w:hAnsi="Century Gothic" w:cs="Courier New"/>
          <w:b/>
          <w:bCs/>
          <w:color w:val="1F497D" w:themeColor="text2"/>
          <w:sz w:val="24"/>
          <w:szCs w:val="24"/>
        </w:rPr>
      </w:pPr>
    </w:p>
    <w:p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w:t>
      </w:r>
      <w:proofErr w:type="spellStart"/>
      <w:r>
        <w:rPr>
          <w:rFonts w:ascii="Century Gothic" w:hAnsi="Century Gothic" w:cs="Courier New"/>
          <w:color w:val="1F497D" w:themeColor="text2"/>
          <w:sz w:val="24"/>
          <w:szCs w:val="24"/>
        </w:rPr>
        <w:t>Grezar</w:t>
      </w:r>
      <w:proofErr w:type="spellEnd"/>
      <w:r>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w:t>
      </w:r>
      <w:proofErr w:type="gramStart"/>
      <w:r>
        <w:rPr>
          <w:rFonts w:ascii="Century Gothic" w:hAnsi="Century Gothic" w:cs="Courier New"/>
          <w:color w:val="1F497D" w:themeColor="text2"/>
          <w:sz w:val="24"/>
          <w:szCs w:val="24"/>
        </w:rPr>
        <w:t>predetti</w:t>
      </w:r>
      <w:proofErr w:type="gramEnd"/>
      <w:r>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Il trattamento dei dati avviene anche mediante l’utilizzo di strumenti elettronici, per il tempo e con logiche strettamente correlati alle </w:t>
      </w:r>
      <w:proofErr w:type="gramStart"/>
      <w:r>
        <w:rPr>
          <w:rFonts w:ascii="Century Gothic" w:hAnsi="Century Gothic" w:cs="Courier New"/>
          <w:color w:val="1F497D" w:themeColor="text2"/>
          <w:sz w:val="24"/>
          <w:szCs w:val="24"/>
        </w:rPr>
        <w:t>predette</w:t>
      </w:r>
      <w:proofErr w:type="gramEnd"/>
      <w:r>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w:t>
      </w:r>
      <w:proofErr w:type="spellStart"/>
      <w:r>
        <w:rPr>
          <w:rFonts w:ascii="Century Gothic" w:hAnsi="Century Gothic" w:cs="Courier New"/>
          <w:color w:val="1F497D" w:themeColor="text2"/>
          <w:sz w:val="24"/>
          <w:szCs w:val="24"/>
        </w:rPr>
        <w:t>Grezar</w:t>
      </w:r>
      <w:proofErr w:type="spellEnd"/>
      <w:r>
        <w:rPr>
          <w:rFonts w:ascii="Century Gothic" w:hAnsi="Century Gothic" w:cs="Courier New"/>
          <w:color w:val="1F497D" w:themeColor="text2"/>
          <w:sz w:val="24"/>
          <w:szCs w:val="24"/>
        </w:rPr>
        <w:t xml:space="preserve">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rsidR="005D0112" w:rsidRDefault="00C2086C">
      <w:pPr>
        <w:rPr>
          <w:rFonts w:ascii="Century Gothic" w:hAnsi="Century Gothic" w:cs="Courier New"/>
          <w:color w:val="1F497D" w:themeColor="text2"/>
          <w:sz w:val="24"/>
          <w:szCs w:val="24"/>
        </w:rPr>
      </w:pPr>
      <w:r>
        <w:br w:type="page"/>
      </w:r>
    </w:p>
    <w:p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rsidR="005D0112" w:rsidRPr="00646C9A" w:rsidRDefault="00C2086C" w:rsidP="00091D16">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se le licenze </w:t>
      </w:r>
      <w:r w:rsidR="00091D16" w:rsidRPr="00091D16">
        <w:rPr>
          <w:rFonts w:ascii="Century Gothic" w:hAnsi="Century Gothic"/>
          <w:color w:val="1F497D" w:themeColor="text2"/>
          <w:sz w:val="24"/>
          <w:szCs w:val="24"/>
        </w:rPr>
        <w:t xml:space="preserve">software e servizi di manutenzione </w:t>
      </w:r>
      <w:r w:rsidR="00C077E2">
        <w:rPr>
          <w:rFonts w:ascii="Century Gothic" w:hAnsi="Century Gothic"/>
          <w:color w:val="1F497D" w:themeColor="text2"/>
          <w:sz w:val="24"/>
          <w:szCs w:val="24"/>
        </w:rPr>
        <w:t xml:space="preserve">della soluzione </w:t>
      </w:r>
      <w:r w:rsidR="00091D16" w:rsidRPr="00091D16">
        <w:rPr>
          <w:rFonts w:ascii="Century Gothic" w:hAnsi="Century Gothic"/>
          <w:color w:val="1F497D" w:themeColor="text2"/>
          <w:sz w:val="24"/>
          <w:szCs w:val="24"/>
        </w:rPr>
        <w:t>applicativ</w:t>
      </w:r>
      <w:r w:rsidR="00C077E2">
        <w:rPr>
          <w:rFonts w:ascii="Century Gothic" w:hAnsi="Century Gothic"/>
          <w:color w:val="1F497D" w:themeColor="text2"/>
          <w:sz w:val="24"/>
          <w:szCs w:val="24"/>
        </w:rPr>
        <w:t>a</w:t>
      </w:r>
      <w:r w:rsidR="00091D16" w:rsidRPr="00091D16">
        <w:rPr>
          <w:rFonts w:ascii="Century Gothic" w:hAnsi="Century Gothic"/>
          <w:color w:val="1F497D" w:themeColor="text2"/>
          <w:sz w:val="24"/>
          <w:szCs w:val="24"/>
        </w:rPr>
        <w:t xml:space="preserve"> “Easy Telematico Enti” per la gestione del Processo Civile Telematico (PCT)</w:t>
      </w:r>
      <w:r>
        <w:rPr>
          <w:rFonts w:ascii="Century Gothic" w:hAnsi="Century Gothic"/>
          <w:color w:val="1F497D" w:themeColor="text2"/>
          <w:sz w:val="24"/>
          <w:szCs w:val="24"/>
        </w:rPr>
        <w:t>, attualmente in uso, abbiano un mercato di riferimento e le eventuali soluzioni tecniche disponibili, nonché le condizioni di prezzo mediamente praticate;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p>
    <w:p w:rsidR="005D0112" w:rsidRDefault="00C2086C">
      <w:pPr>
        <w:rPr>
          <w:rFonts w:ascii="Century Gothic" w:hAnsi="Century Gothic" w:cs="Courier New"/>
          <w:b/>
          <w:bCs/>
          <w:i/>
          <w:color w:val="1F497D" w:themeColor="text2"/>
          <w:sz w:val="24"/>
        </w:rPr>
      </w:pPr>
      <w:r>
        <w:br w:type="page"/>
      </w:r>
    </w:p>
    <w:p w:rsidR="005D0112"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rsidR="00C077E2" w:rsidRDefault="00C077E2" w:rsidP="00091D16">
      <w:pPr>
        <w:tabs>
          <w:tab w:val="left" w:pos="8789"/>
        </w:tabs>
        <w:ind w:left="567" w:right="565" w:firstLine="567"/>
        <w:jc w:val="both"/>
        <w:rPr>
          <w:rFonts w:ascii="Century Gothic" w:hAnsi="Century Gothic"/>
          <w:color w:val="1F497D" w:themeColor="text2"/>
          <w:sz w:val="24"/>
          <w:szCs w:val="24"/>
        </w:rPr>
      </w:pPr>
      <w:r w:rsidRPr="00C077E2">
        <w:rPr>
          <w:rFonts w:ascii="Century Gothic" w:hAnsi="Century Gothic"/>
          <w:color w:val="1F497D" w:themeColor="text2"/>
          <w:sz w:val="24"/>
          <w:szCs w:val="24"/>
        </w:rPr>
        <w:t xml:space="preserve">Con la legge di stabilità 2013, n. 228/12, pubblicata sulla Gazzetta Ufficiale 302/12 ed entrata in vigore il primo gennaio 2013, è stato convertito in legge il D.L. 18/10/2012 N. 179, ed è stata data una forte accelerazione al progressivo abbandono dei documenti cartacei nelle aule di giustizia. </w:t>
      </w:r>
      <w:r>
        <w:rPr>
          <w:rFonts w:ascii="Century Gothic" w:hAnsi="Century Gothic"/>
          <w:color w:val="1F497D" w:themeColor="text2"/>
          <w:sz w:val="24"/>
          <w:szCs w:val="24"/>
        </w:rPr>
        <w:t xml:space="preserve">È </w:t>
      </w:r>
      <w:r w:rsidRPr="00C077E2">
        <w:rPr>
          <w:rFonts w:ascii="Century Gothic" w:hAnsi="Century Gothic"/>
          <w:color w:val="1F497D" w:themeColor="text2"/>
          <w:sz w:val="24"/>
          <w:szCs w:val="24"/>
        </w:rPr>
        <w:t xml:space="preserve">stata anzitutto approvata in via definitiva la norma, introdotta dall’art. 16 del decreto legge, che </w:t>
      </w:r>
      <w:r>
        <w:rPr>
          <w:rFonts w:ascii="Century Gothic" w:hAnsi="Century Gothic"/>
          <w:color w:val="1F497D" w:themeColor="text2"/>
          <w:sz w:val="24"/>
          <w:szCs w:val="24"/>
        </w:rPr>
        <w:t xml:space="preserve">ha </w:t>
      </w:r>
      <w:r w:rsidRPr="00C077E2">
        <w:rPr>
          <w:rFonts w:ascii="Century Gothic" w:hAnsi="Century Gothic"/>
          <w:color w:val="1F497D" w:themeColor="text2"/>
          <w:sz w:val="24"/>
          <w:szCs w:val="24"/>
        </w:rPr>
        <w:t>re</w:t>
      </w:r>
      <w:r>
        <w:rPr>
          <w:rFonts w:ascii="Century Gothic" w:hAnsi="Century Gothic"/>
          <w:color w:val="1F497D" w:themeColor="text2"/>
          <w:sz w:val="24"/>
          <w:szCs w:val="24"/>
        </w:rPr>
        <w:t>so</w:t>
      </w:r>
      <w:r w:rsidRPr="00C077E2">
        <w:rPr>
          <w:rFonts w:ascii="Century Gothic" w:hAnsi="Century Gothic"/>
          <w:color w:val="1F497D" w:themeColor="text2"/>
          <w:sz w:val="24"/>
          <w:szCs w:val="24"/>
        </w:rPr>
        <w:t xml:space="preserve"> obbligatorie le comunicazioni ex art. 136 c.p.c. via PEC e, in sede di conversione, è stato aggiunto l’art. 16 bis che prevede</w:t>
      </w:r>
      <w:r>
        <w:rPr>
          <w:rFonts w:ascii="Century Gothic" w:hAnsi="Century Gothic"/>
          <w:color w:val="1F497D" w:themeColor="text2"/>
          <w:sz w:val="24"/>
          <w:szCs w:val="24"/>
        </w:rPr>
        <w:t>va</w:t>
      </w:r>
      <w:r w:rsidRPr="00C077E2">
        <w:rPr>
          <w:rFonts w:ascii="Century Gothic" w:hAnsi="Century Gothic"/>
          <w:color w:val="1F497D" w:themeColor="text2"/>
          <w:sz w:val="24"/>
          <w:szCs w:val="24"/>
        </w:rPr>
        <w:t>, a partire dal 30 giugno 2014, che in tutti i procedimenti civili, contenziosi o di volontaria giurisdizione, di competenza del Tribunale, il deposito di atti processuali e documenti dei difensori delle parti già costituite sarà effettuato esclusivamente in modo telematico. Analogamente per il deposito degli atti e dei documenti provenienti dai soggetti nominati o delegati dall’Autorità giudiziaria.</w:t>
      </w:r>
    </w:p>
    <w:p w:rsidR="00C077E2" w:rsidRPr="00577935" w:rsidRDefault="00C077E2" w:rsidP="00C077E2">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Agenzia delle entrate–Riscossione </w:t>
      </w:r>
      <w:r>
        <w:rPr>
          <w:rFonts w:ascii="Century Gothic" w:hAnsi="Century Gothic" w:cs="Courier New"/>
          <w:color w:val="1F497D" w:themeColor="text2"/>
          <w:sz w:val="24"/>
        </w:rPr>
        <w:t xml:space="preserve">avrà </w:t>
      </w:r>
      <w:r w:rsidR="006B7979">
        <w:rPr>
          <w:rFonts w:ascii="Century Gothic" w:hAnsi="Century Gothic" w:cs="Courier New"/>
          <w:color w:val="1F497D" w:themeColor="text2"/>
          <w:sz w:val="24"/>
        </w:rPr>
        <w:t xml:space="preserve">anche </w:t>
      </w:r>
      <w:r>
        <w:rPr>
          <w:rFonts w:ascii="Century Gothic" w:hAnsi="Century Gothic" w:cs="Courier New"/>
          <w:color w:val="1F497D" w:themeColor="text2"/>
          <w:sz w:val="24"/>
        </w:rPr>
        <w:t xml:space="preserve">per il prossimo futuro </w:t>
      </w:r>
      <w:r w:rsidRPr="00577935">
        <w:rPr>
          <w:rFonts w:ascii="Century Gothic" w:hAnsi="Century Gothic" w:cs="Courier New"/>
          <w:color w:val="1F497D" w:themeColor="text2"/>
          <w:sz w:val="24"/>
        </w:rPr>
        <w:t xml:space="preserve">l’esigenza di </w:t>
      </w:r>
      <w:r>
        <w:rPr>
          <w:rFonts w:ascii="Century Gothic" w:hAnsi="Century Gothic" w:cs="Courier New"/>
          <w:color w:val="1F497D" w:themeColor="text2"/>
          <w:sz w:val="24"/>
        </w:rPr>
        <w:t xml:space="preserve">utilizzare una soluzione </w:t>
      </w:r>
      <w:r w:rsidRPr="00577935">
        <w:rPr>
          <w:rFonts w:ascii="Century Gothic" w:hAnsi="Century Gothic" w:cs="Courier New"/>
          <w:color w:val="1F497D" w:themeColor="text2"/>
          <w:sz w:val="24"/>
        </w:rPr>
        <w:t>software per la gestione</w:t>
      </w:r>
      <w:r w:rsidR="00CF1FA7">
        <w:rPr>
          <w:rFonts w:ascii="Century Gothic" w:hAnsi="Century Gothic" w:cs="Courier New"/>
          <w:color w:val="1F497D" w:themeColor="text2"/>
          <w:sz w:val="24"/>
        </w:rPr>
        <w:t xml:space="preserve">, secondo la normativa richiamata, </w:t>
      </w:r>
      <w:r w:rsidR="00902241" w:rsidRPr="00902241">
        <w:rPr>
          <w:rFonts w:ascii="Century Gothic" w:hAnsi="Century Gothic" w:cs="Courier New"/>
          <w:color w:val="1F497D" w:themeColor="text2"/>
          <w:sz w:val="24"/>
        </w:rPr>
        <w:t>della relazione con il sistema del Processo Civile Telematico del Ministero di Giustizia</w:t>
      </w:r>
      <w:r>
        <w:rPr>
          <w:rFonts w:ascii="Century Gothic" w:hAnsi="Century Gothic" w:cs="Courier New"/>
          <w:color w:val="1F497D" w:themeColor="text2"/>
          <w:sz w:val="24"/>
        </w:rPr>
        <w:t>.</w:t>
      </w:r>
    </w:p>
    <w:p w:rsidR="006B7979" w:rsidRDefault="00091D16" w:rsidP="00091D16">
      <w:pPr>
        <w:tabs>
          <w:tab w:val="left" w:pos="8789"/>
        </w:tabs>
        <w:ind w:left="567" w:right="565" w:firstLine="567"/>
        <w:jc w:val="both"/>
        <w:rPr>
          <w:rFonts w:ascii="Century Gothic" w:hAnsi="Century Gothic"/>
          <w:color w:val="1F497D" w:themeColor="text2"/>
          <w:sz w:val="24"/>
          <w:szCs w:val="24"/>
        </w:rPr>
      </w:pPr>
      <w:r w:rsidRPr="00091D16">
        <w:rPr>
          <w:rFonts w:ascii="Century Gothic" w:hAnsi="Century Gothic"/>
          <w:color w:val="1F497D" w:themeColor="text2"/>
          <w:sz w:val="24"/>
          <w:szCs w:val="24"/>
        </w:rPr>
        <w:t xml:space="preserve">L’applicazione </w:t>
      </w:r>
      <w:r w:rsidR="00EC2B63">
        <w:rPr>
          <w:rFonts w:ascii="Century Gothic" w:hAnsi="Century Gothic"/>
          <w:color w:val="1F497D" w:themeColor="text2"/>
          <w:sz w:val="24"/>
          <w:szCs w:val="24"/>
        </w:rPr>
        <w:t>viene</w:t>
      </w:r>
      <w:r w:rsidRPr="00091D16">
        <w:rPr>
          <w:rFonts w:ascii="Century Gothic" w:hAnsi="Century Gothic"/>
          <w:color w:val="1F497D" w:themeColor="text2"/>
          <w:sz w:val="24"/>
          <w:szCs w:val="24"/>
        </w:rPr>
        <w:t xml:space="preserve"> utilizzata da circa 600 utenti su tutto il territorio nazionale</w:t>
      </w:r>
      <w:r w:rsidR="006B7979">
        <w:rPr>
          <w:rFonts w:ascii="Century Gothic" w:hAnsi="Century Gothic"/>
          <w:color w:val="1F497D" w:themeColor="text2"/>
          <w:sz w:val="24"/>
          <w:szCs w:val="24"/>
        </w:rPr>
        <w:t xml:space="preserve">, con una </w:t>
      </w:r>
      <w:r w:rsidR="006B7979" w:rsidRPr="00091D16">
        <w:rPr>
          <w:rFonts w:ascii="Century Gothic" w:hAnsi="Century Gothic"/>
          <w:color w:val="1F497D" w:themeColor="text2"/>
          <w:sz w:val="24"/>
          <w:szCs w:val="24"/>
        </w:rPr>
        <w:t>contemporaneità nell’uso</w:t>
      </w:r>
      <w:r w:rsidR="006B7979">
        <w:rPr>
          <w:rFonts w:ascii="Century Gothic" w:hAnsi="Century Gothic"/>
          <w:color w:val="1F497D" w:themeColor="text2"/>
          <w:sz w:val="24"/>
          <w:szCs w:val="24"/>
        </w:rPr>
        <w:t xml:space="preserve"> di circa 200.</w:t>
      </w:r>
      <w:r w:rsidR="00EC2B63">
        <w:rPr>
          <w:rFonts w:ascii="Century Gothic" w:hAnsi="Century Gothic"/>
          <w:color w:val="1F497D" w:themeColor="text2"/>
          <w:sz w:val="24"/>
          <w:szCs w:val="24"/>
        </w:rPr>
        <w:t xml:space="preserve"> Si prevede che sia la numerosità degli utenti sia la </w:t>
      </w:r>
      <w:r w:rsidR="00EC2B63" w:rsidRPr="00091D16">
        <w:rPr>
          <w:rFonts w:ascii="Century Gothic" w:hAnsi="Century Gothic"/>
          <w:color w:val="1F497D" w:themeColor="text2"/>
          <w:sz w:val="24"/>
          <w:szCs w:val="24"/>
        </w:rPr>
        <w:t>contemporaneità</w:t>
      </w:r>
      <w:r w:rsidR="00EC2B63">
        <w:rPr>
          <w:rFonts w:ascii="Century Gothic" w:hAnsi="Century Gothic"/>
          <w:color w:val="1F497D" w:themeColor="text2"/>
          <w:sz w:val="24"/>
          <w:szCs w:val="24"/>
        </w:rPr>
        <w:t xml:space="preserve"> d’uso non venga modificata per il prossimo triennio.</w:t>
      </w:r>
    </w:p>
    <w:p w:rsidR="00ED7389" w:rsidRPr="00677805" w:rsidRDefault="00500DDB" w:rsidP="004E087D">
      <w:pPr>
        <w:ind w:left="567" w:right="565" w:firstLine="567"/>
        <w:jc w:val="both"/>
        <w:rPr>
          <w:rFonts w:ascii="Century Gothic" w:hAnsi="Century Gothic"/>
          <w:color w:val="1F497D" w:themeColor="text2"/>
          <w:sz w:val="24"/>
          <w:szCs w:val="24"/>
        </w:rPr>
      </w:pPr>
      <w:r w:rsidRPr="00577935">
        <w:rPr>
          <w:rFonts w:ascii="Century Gothic" w:hAnsi="Century Gothic" w:cs="Courier New"/>
          <w:color w:val="1F497D" w:themeColor="text2"/>
          <w:sz w:val="24"/>
        </w:rPr>
        <w:t xml:space="preserve">Il fabbisogno è </w:t>
      </w:r>
      <w:r>
        <w:rPr>
          <w:rFonts w:ascii="Century Gothic" w:hAnsi="Century Gothic" w:cs="Courier New"/>
          <w:color w:val="1F497D" w:themeColor="text2"/>
          <w:sz w:val="24"/>
        </w:rPr>
        <w:t xml:space="preserve">quindi </w:t>
      </w:r>
      <w:r w:rsidRPr="00577935">
        <w:rPr>
          <w:rFonts w:ascii="Century Gothic" w:hAnsi="Century Gothic" w:cs="Courier New"/>
          <w:color w:val="1F497D" w:themeColor="text2"/>
          <w:sz w:val="24"/>
        </w:rPr>
        <w:t xml:space="preserve">rappresentato dalle licenze software per l’utilizzo di una </w:t>
      </w:r>
      <w:r>
        <w:rPr>
          <w:rFonts w:ascii="Century Gothic" w:hAnsi="Century Gothic" w:cs="Courier New"/>
          <w:color w:val="1F497D" w:themeColor="text2"/>
          <w:sz w:val="24"/>
        </w:rPr>
        <w:t>soluzione</w:t>
      </w:r>
      <w:r w:rsidRPr="00577935">
        <w:rPr>
          <w:rFonts w:ascii="Century Gothic" w:hAnsi="Century Gothic" w:cs="Courier New"/>
          <w:color w:val="1F497D" w:themeColor="text2"/>
          <w:sz w:val="24"/>
        </w:rPr>
        <w:t xml:space="preserve">, utilizzabile per almeno </w:t>
      </w:r>
      <w:r w:rsidRPr="00091D16">
        <w:rPr>
          <w:rFonts w:ascii="Century Gothic" w:hAnsi="Century Gothic"/>
          <w:color w:val="1F497D" w:themeColor="text2"/>
          <w:sz w:val="24"/>
          <w:szCs w:val="24"/>
        </w:rPr>
        <w:t xml:space="preserve">600 utenti </w:t>
      </w:r>
      <w:r w:rsidRPr="00577935">
        <w:rPr>
          <w:rFonts w:ascii="Century Gothic" w:hAnsi="Century Gothic" w:cs="Courier New"/>
          <w:color w:val="1F497D" w:themeColor="text2"/>
          <w:sz w:val="24"/>
        </w:rPr>
        <w:t>dislocat</w:t>
      </w:r>
      <w:r>
        <w:rPr>
          <w:rFonts w:ascii="Century Gothic" w:hAnsi="Century Gothic" w:cs="Courier New"/>
          <w:color w:val="1F497D" w:themeColor="text2"/>
          <w:sz w:val="24"/>
        </w:rPr>
        <w:t>i</w:t>
      </w:r>
      <w:r w:rsidRPr="00577935">
        <w:rPr>
          <w:rFonts w:ascii="Century Gothic" w:hAnsi="Century Gothic" w:cs="Courier New"/>
          <w:color w:val="1F497D" w:themeColor="text2"/>
          <w:sz w:val="24"/>
        </w:rPr>
        <w:t xml:space="preserve"> sull’intero territorio nazionale</w:t>
      </w:r>
      <w:r>
        <w:rPr>
          <w:rFonts w:ascii="Century Gothic" w:hAnsi="Century Gothic"/>
          <w:color w:val="1F497D" w:themeColor="text2"/>
          <w:sz w:val="24"/>
          <w:szCs w:val="24"/>
        </w:rPr>
        <w:t xml:space="preserve"> di cui 200</w:t>
      </w:r>
      <w:r w:rsidRPr="00500DDB">
        <w:rPr>
          <w:rFonts w:ascii="Century Gothic" w:hAnsi="Century Gothic"/>
          <w:color w:val="1F497D" w:themeColor="text2"/>
          <w:sz w:val="24"/>
          <w:szCs w:val="24"/>
        </w:rPr>
        <w:t xml:space="preserve"> </w:t>
      </w:r>
      <w:r w:rsidRPr="00091D16">
        <w:rPr>
          <w:rFonts w:ascii="Century Gothic" w:hAnsi="Century Gothic"/>
          <w:color w:val="1F497D" w:themeColor="text2"/>
          <w:sz w:val="24"/>
          <w:szCs w:val="24"/>
        </w:rPr>
        <w:t>contemporanei</w:t>
      </w:r>
      <w:r>
        <w:rPr>
          <w:rFonts w:ascii="Century Gothic" w:hAnsi="Century Gothic"/>
          <w:color w:val="1F497D" w:themeColor="text2"/>
          <w:sz w:val="24"/>
          <w:szCs w:val="24"/>
        </w:rPr>
        <w:t xml:space="preserve">, per un triennio che garantisca </w:t>
      </w:r>
      <w:r>
        <w:rPr>
          <w:rFonts w:ascii="Century Gothic" w:hAnsi="Century Gothic"/>
          <w:bCs/>
          <w:iCs/>
          <w:color w:val="1F497D" w:themeColor="text2"/>
          <w:sz w:val="24"/>
          <w:szCs w:val="24"/>
        </w:rPr>
        <w:t>la</w:t>
      </w:r>
      <w:r w:rsidRPr="00421033">
        <w:rPr>
          <w:rFonts w:ascii="Century Gothic" w:hAnsi="Century Gothic"/>
          <w:bCs/>
          <w:iCs/>
          <w:color w:val="1F497D" w:themeColor="text2"/>
          <w:sz w:val="24"/>
          <w:szCs w:val="24"/>
        </w:rPr>
        <w:t xml:space="preserve"> gesti</w:t>
      </w:r>
      <w:r>
        <w:rPr>
          <w:rFonts w:ascii="Century Gothic" w:hAnsi="Century Gothic"/>
          <w:bCs/>
          <w:iCs/>
          <w:color w:val="1F497D" w:themeColor="text2"/>
          <w:sz w:val="24"/>
          <w:szCs w:val="24"/>
        </w:rPr>
        <w:t>one</w:t>
      </w:r>
      <w:r w:rsidRPr="00421033">
        <w:rPr>
          <w:rFonts w:ascii="Century Gothic" w:hAnsi="Century Gothic"/>
          <w:bCs/>
          <w:iCs/>
          <w:color w:val="1F497D" w:themeColor="text2"/>
          <w:sz w:val="24"/>
          <w:szCs w:val="24"/>
        </w:rPr>
        <w:t xml:space="preserve"> </w:t>
      </w:r>
      <w:r>
        <w:rPr>
          <w:rFonts w:ascii="Century Gothic" w:hAnsi="Century Gothic"/>
          <w:bCs/>
          <w:iCs/>
          <w:color w:val="1F497D" w:themeColor="text2"/>
          <w:sz w:val="24"/>
          <w:szCs w:val="24"/>
        </w:rPr>
        <w:t>de</w:t>
      </w:r>
      <w:r w:rsidRPr="00421033">
        <w:rPr>
          <w:rFonts w:ascii="Century Gothic" w:hAnsi="Century Gothic"/>
          <w:bCs/>
          <w:iCs/>
          <w:color w:val="1F497D" w:themeColor="text2"/>
          <w:sz w:val="24"/>
          <w:szCs w:val="24"/>
        </w:rPr>
        <w:t>i processi aziendali delle funzioni organizzative dell</w:t>
      </w:r>
      <w:r>
        <w:rPr>
          <w:rFonts w:ascii="Century Gothic" w:hAnsi="Century Gothic"/>
          <w:bCs/>
          <w:iCs/>
          <w:color w:val="1F497D" w:themeColor="text2"/>
          <w:sz w:val="24"/>
          <w:szCs w:val="24"/>
        </w:rPr>
        <w:t>’</w:t>
      </w:r>
      <w:r w:rsidRPr="00421033">
        <w:rPr>
          <w:rFonts w:ascii="Century Gothic" w:hAnsi="Century Gothic"/>
          <w:color w:val="1F497D" w:themeColor="text2"/>
          <w:sz w:val="24"/>
          <w:szCs w:val="24"/>
        </w:rPr>
        <w:t>Agenzia</w:t>
      </w:r>
      <w:r w:rsidRPr="00421033">
        <w:rPr>
          <w:rFonts w:ascii="Century Gothic" w:hAnsi="Century Gothic"/>
          <w:bCs/>
          <w:iCs/>
          <w:color w:val="1F497D" w:themeColor="text2"/>
          <w:sz w:val="24"/>
          <w:szCs w:val="24"/>
        </w:rPr>
        <w:t xml:space="preserve"> chiamate alla gestione del Contenzioso, in ordine alla gestione della relazione con il sistema del Processo Civile Telematico del Ministero di Giustizia, nonché quelli necessari alla formazione dei relativi utenti</w:t>
      </w:r>
      <w:r>
        <w:rPr>
          <w:rFonts w:ascii="Century Gothic" w:hAnsi="Century Gothic"/>
          <w:bCs/>
          <w:iCs/>
          <w:color w:val="1F497D" w:themeColor="text2"/>
          <w:sz w:val="24"/>
          <w:szCs w:val="24"/>
        </w:rPr>
        <w:t>.</w:t>
      </w:r>
      <w:r w:rsidR="00ED7389">
        <w:rPr>
          <w:rFonts w:ascii="Century Gothic" w:hAnsi="Century Gothic"/>
          <w:bCs/>
          <w:iCs/>
          <w:color w:val="1F497D" w:themeColor="text2"/>
          <w:sz w:val="24"/>
          <w:szCs w:val="24"/>
        </w:rPr>
        <w:t xml:space="preserve"> </w:t>
      </w:r>
      <w:r w:rsidR="00ED7389" w:rsidRPr="00677805">
        <w:rPr>
          <w:rFonts w:ascii="Century Gothic" w:hAnsi="Century Gothic"/>
          <w:color w:val="1F497D" w:themeColor="text2"/>
          <w:sz w:val="24"/>
          <w:szCs w:val="24"/>
        </w:rPr>
        <w:t xml:space="preserve">In particolare, </w:t>
      </w:r>
      <w:r w:rsidR="00ED7389">
        <w:rPr>
          <w:rFonts w:ascii="Century Gothic" w:hAnsi="Century Gothic"/>
          <w:color w:val="1F497D" w:themeColor="text2"/>
          <w:sz w:val="24"/>
          <w:szCs w:val="24"/>
        </w:rPr>
        <w:t>la</w:t>
      </w:r>
      <w:r w:rsidR="00ED7389" w:rsidRPr="00677805">
        <w:rPr>
          <w:rFonts w:ascii="Century Gothic" w:hAnsi="Century Gothic"/>
          <w:color w:val="1F497D" w:themeColor="text2"/>
          <w:sz w:val="24"/>
          <w:szCs w:val="24"/>
        </w:rPr>
        <w:t xml:space="preserve"> soluzione </w:t>
      </w:r>
      <w:r w:rsidR="00ED7389">
        <w:rPr>
          <w:rFonts w:ascii="Century Gothic" w:hAnsi="Century Gothic"/>
          <w:color w:val="1F497D" w:themeColor="text2"/>
          <w:sz w:val="24"/>
          <w:szCs w:val="24"/>
        </w:rPr>
        <w:t>deve</w:t>
      </w:r>
      <w:r w:rsidR="00ED7389" w:rsidRPr="00677805">
        <w:rPr>
          <w:rFonts w:ascii="Century Gothic" w:hAnsi="Century Gothic"/>
          <w:color w:val="1F497D" w:themeColor="text2"/>
          <w:sz w:val="24"/>
          <w:szCs w:val="24"/>
        </w:rPr>
        <w:t xml:space="preserve"> consent</w:t>
      </w:r>
      <w:r w:rsidR="00ED7389">
        <w:rPr>
          <w:rFonts w:ascii="Century Gothic" w:hAnsi="Century Gothic"/>
          <w:color w:val="1F497D" w:themeColor="text2"/>
          <w:sz w:val="24"/>
          <w:szCs w:val="24"/>
        </w:rPr>
        <w:t>ire</w:t>
      </w:r>
      <w:r w:rsidR="00ED7389" w:rsidRPr="00677805">
        <w:rPr>
          <w:rFonts w:ascii="Century Gothic" w:hAnsi="Century Gothic"/>
          <w:color w:val="1F497D" w:themeColor="text2"/>
          <w:sz w:val="24"/>
          <w:szCs w:val="24"/>
        </w:rPr>
        <w:t xml:space="preserve"> alle apposite strutture organizzative di: </w:t>
      </w:r>
    </w:p>
    <w:p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 xml:space="preserve">eseguire depositi di atti legali presso gli Uffici Giudiziari abilitati al PCT (Processo Civile Telematico) e monitorarne gli esiti; </w:t>
      </w:r>
    </w:p>
    <w:p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richiedere e ricevere copia degli atti legali depositati e ricevuti dagli Uffici Giudiziari;</w:t>
      </w:r>
    </w:p>
    <w:p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lastRenderedPageBreak/>
        <w:t xml:space="preserve">consultare le comunicazioni di cancelleria pervenute dagli Uffici Giudiziari (atti e biglietti di cancelleria); </w:t>
      </w:r>
    </w:p>
    <w:p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consultare le informazioni dei fascicoli dei Sistemi dei Registri delle cancellerie;</w:t>
      </w:r>
    </w:p>
    <w:p w:rsidR="00ED7389" w:rsidRPr="002A4350" w:rsidRDefault="00ED7389" w:rsidP="00ED7389">
      <w:pPr>
        <w:pStyle w:val="Paragrafoelenco"/>
        <w:numPr>
          <w:ilvl w:val="0"/>
          <w:numId w:val="12"/>
        </w:numPr>
        <w:tabs>
          <w:tab w:val="left" w:pos="8789"/>
        </w:tabs>
        <w:ind w:right="565"/>
        <w:jc w:val="both"/>
        <w:rPr>
          <w:rFonts w:ascii="Century Gothic" w:hAnsi="Century Gothic"/>
          <w:color w:val="1F497D" w:themeColor="text2"/>
          <w:sz w:val="24"/>
          <w:szCs w:val="24"/>
        </w:rPr>
      </w:pPr>
      <w:r w:rsidRPr="002A4350">
        <w:rPr>
          <w:rFonts w:ascii="Century Gothic" w:hAnsi="Century Gothic"/>
          <w:color w:val="1F497D" w:themeColor="text2"/>
          <w:sz w:val="24"/>
          <w:szCs w:val="24"/>
        </w:rPr>
        <w:t>produrre la busta di e-</w:t>
      </w:r>
      <w:proofErr w:type="spellStart"/>
      <w:r w:rsidRPr="002A4350">
        <w:rPr>
          <w:rFonts w:ascii="Century Gothic" w:hAnsi="Century Gothic"/>
          <w:color w:val="1F497D" w:themeColor="text2"/>
          <w:sz w:val="24"/>
          <w:szCs w:val="24"/>
        </w:rPr>
        <w:t>gov</w:t>
      </w:r>
      <w:proofErr w:type="spellEnd"/>
      <w:r w:rsidRPr="002A4350">
        <w:rPr>
          <w:rFonts w:ascii="Century Gothic" w:hAnsi="Century Gothic"/>
          <w:color w:val="1F497D" w:themeColor="text2"/>
          <w:sz w:val="24"/>
          <w:szCs w:val="24"/>
        </w:rPr>
        <w:t xml:space="preserve"> contenente i documenti da allegare al deposito ed inviarla in modo telematico alla cancelleria secondo le modalità previste dalla normativa.</w:t>
      </w:r>
    </w:p>
    <w:p w:rsidR="00EA00D1" w:rsidRPr="004E087D" w:rsidRDefault="00ED7389" w:rsidP="00091D16">
      <w:pPr>
        <w:tabs>
          <w:tab w:val="left" w:pos="8789"/>
        </w:tabs>
        <w:ind w:left="567" w:right="565" w:firstLine="567"/>
        <w:jc w:val="both"/>
        <w:rPr>
          <w:rFonts w:ascii="Century Gothic" w:hAnsi="Century Gothic"/>
          <w:color w:val="1F497D" w:themeColor="text2"/>
          <w:sz w:val="24"/>
          <w:szCs w:val="24"/>
        </w:rPr>
      </w:pPr>
      <w:r w:rsidRPr="004E087D">
        <w:rPr>
          <w:rFonts w:ascii="Century Gothic" w:hAnsi="Century Gothic"/>
          <w:color w:val="1F497D" w:themeColor="text2"/>
          <w:sz w:val="24"/>
          <w:szCs w:val="24"/>
        </w:rPr>
        <w:t>È</w:t>
      </w:r>
      <w:r w:rsidR="00091D16" w:rsidRPr="004E087D">
        <w:rPr>
          <w:rFonts w:ascii="Century Gothic" w:hAnsi="Century Gothic"/>
          <w:color w:val="1F497D" w:themeColor="text2"/>
          <w:sz w:val="24"/>
          <w:szCs w:val="24"/>
        </w:rPr>
        <w:t xml:space="preserve"> </w:t>
      </w:r>
      <w:r w:rsidRPr="004E087D">
        <w:rPr>
          <w:rFonts w:ascii="Century Gothic" w:hAnsi="Century Gothic"/>
          <w:color w:val="1F497D" w:themeColor="text2"/>
          <w:sz w:val="24"/>
          <w:szCs w:val="24"/>
        </w:rPr>
        <w:t>inoltre da prevedere la gestione delle</w:t>
      </w:r>
      <w:r w:rsidR="00091D16" w:rsidRPr="004E087D">
        <w:rPr>
          <w:rFonts w:ascii="Century Gothic" w:hAnsi="Century Gothic"/>
          <w:color w:val="1F497D" w:themeColor="text2"/>
          <w:sz w:val="24"/>
          <w:szCs w:val="24"/>
        </w:rPr>
        <w:t xml:space="preserve"> nuove esigenze di carattere normativo </w:t>
      </w:r>
      <w:r w:rsidRPr="004E087D">
        <w:rPr>
          <w:rFonts w:ascii="Century Gothic" w:hAnsi="Century Gothic"/>
          <w:color w:val="1F497D" w:themeColor="text2"/>
          <w:sz w:val="24"/>
          <w:szCs w:val="24"/>
        </w:rPr>
        <w:t>e</w:t>
      </w:r>
      <w:r w:rsidR="00091D16" w:rsidRPr="004E087D">
        <w:rPr>
          <w:rFonts w:ascii="Century Gothic" w:hAnsi="Century Gothic"/>
          <w:color w:val="1F497D" w:themeColor="text2"/>
          <w:sz w:val="24"/>
          <w:szCs w:val="24"/>
        </w:rPr>
        <w:t xml:space="preserve"> </w:t>
      </w:r>
      <w:r w:rsidRPr="004E087D">
        <w:rPr>
          <w:rFonts w:ascii="Century Gothic" w:hAnsi="Century Gothic"/>
          <w:color w:val="1F497D" w:themeColor="text2"/>
          <w:sz w:val="24"/>
          <w:szCs w:val="24"/>
        </w:rPr>
        <w:t>per</w:t>
      </w:r>
      <w:r w:rsidR="00091D16" w:rsidRPr="004E087D">
        <w:rPr>
          <w:rFonts w:ascii="Century Gothic" w:hAnsi="Century Gothic"/>
          <w:color w:val="1F497D" w:themeColor="text2"/>
          <w:sz w:val="24"/>
          <w:szCs w:val="24"/>
        </w:rPr>
        <w:t xml:space="preserve"> upgrade tecnologico</w:t>
      </w:r>
      <w:r w:rsidRPr="004E087D">
        <w:rPr>
          <w:rFonts w:ascii="Century Gothic" w:hAnsi="Century Gothic"/>
          <w:color w:val="1F497D" w:themeColor="text2"/>
          <w:sz w:val="24"/>
          <w:szCs w:val="24"/>
        </w:rPr>
        <w:t xml:space="preserve"> della piattaforma tecnologica (da on premise a cloud i base la Piano Triennale di </w:t>
      </w:r>
      <w:proofErr w:type="spellStart"/>
      <w:r w:rsidRPr="004E087D">
        <w:rPr>
          <w:rFonts w:ascii="Century Gothic" w:hAnsi="Century Gothic"/>
          <w:color w:val="1F497D" w:themeColor="text2"/>
          <w:sz w:val="24"/>
          <w:szCs w:val="24"/>
        </w:rPr>
        <w:t>AgID</w:t>
      </w:r>
      <w:proofErr w:type="spellEnd"/>
      <w:r w:rsidRPr="004E087D">
        <w:rPr>
          <w:rFonts w:ascii="Century Gothic" w:hAnsi="Century Gothic"/>
          <w:color w:val="1F497D" w:themeColor="text2"/>
          <w:sz w:val="24"/>
          <w:szCs w:val="24"/>
        </w:rPr>
        <w:t>)</w:t>
      </w:r>
      <w:r w:rsidR="00091D16" w:rsidRPr="004E087D">
        <w:rPr>
          <w:rFonts w:ascii="Century Gothic" w:hAnsi="Century Gothic"/>
          <w:color w:val="1F497D" w:themeColor="text2"/>
          <w:sz w:val="24"/>
          <w:szCs w:val="24"/>
        </w:rPr>
        <w:t xml:space="preserve">. </w:t>
      </w:r>
    </w:p>
    <w:p w:rsidR="00ED7389" w:rsidRPr="00BB0AC2" w:rsidRDefault="00ED7389" w:rsidP="00ED7389">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complessivo</w:t>
      </w:r>
      <w:r w:rsidRPr="00BB0AC2">
        <w:rPr>
          <w:rFonts w:ascii="Century Gothic" w:hAnsi="Century Gothic"/>
          <w:color w:val="1F497D" w:themeColor="text2"/>
          <w:sz w:val="24"/>
          <w:szCs w:val="24"/>
        </w:rPr>
        <w:t xml:space="preserve"> per l’acquisizione del</w:t>
      </w:r>
      <w:r>
        <w:rPr>
          <w:rFonts w:ascii="Century Gothic" w:hAnsi="Century Gothic"/>
          <w:color w:val="1F497D" w:themeColor="text2"/>
          <w:sz w:val="24"/>
          <w:szCs w:val="24"/>
        </w:rPr>
        <w:t>le licenze e</w:t>
      </w:r>
      <w:r w:rsidRP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relativo </w:t>
      </w:r>
      <w:r w:rsidRPr="00BB0AC2">
        <w:rPr>
          <w:rFonts w:ascii="Century Gothic" w:hAnsi="Century Gothic"/>
          <w:color w:val="1F497D" w:themeColor="text2"/>
          <w:sz w:val="24"/>
          <w:szCs w:val="24"/>
        </w:rPr>
        <w:t>servizio di manutenzione</w:t>
      </w:r>
      <w:r>
        <w:rPr>
          <w:rFonts w:ascii="Century Gothic" w:hAnsi="Century Gothic"/>
          <w:color w:val="1F497D" w:themeColor="text2"/>
          <w:sz w:val="24"/>
          <w:szCs w:val="24"/>
        </w:rPr>
        <w:t xml:space="preserve"> correttiva </w:t>
      </w:r>
      <w:proofErr w:type="gramStart"/>
      <w:r>
        <w:rPr>
          <w:rFonts w:ascii="Century Gothic" w:hAnsi="Century Gothic"/>
          <w:color w:val="1F497D" w:themeColor="text2"/>
          <w:sz w:val="24"/>
          <w:szCs w:val="24"/>
        </w:rPr>
        <w:t>e</w:t>
      </w:r>
      <w:proofErr w:type="gramEnd"/>
      <w:r>
        <w:rPr>
          <w:rFonts w:ascii="Century Gothic" w:hAnsi="Century Gothic"/>
          <w:color w:val="1F497D" w:themeColor="text2"/>
          <w:sz w:val="24"/>
          <w:szCs w:val="24"/>
        </w:rPr>
        <w:t xml:space="preserve"> evolutiva</w:t>
      </w:r>
      <w:r w:rsidRPr="00BB0AC2">
        <w:rPr>
          <w:rFonts w:ascii="Century Gothic" w:hAnsi="Century Gothic"/>
          <w:color w:val="1F497D" w:themeColor="text2"/>
          <w:sz w:val="24"/>
          <w:szCs w:val="24"/>
        </w:rPr>
        <w:t>,</w:t>
      </w:r>
      <w:r>
        <w:rPr>
          <w:rFonts w:ascii="Century Gothic" w:hAnsi="Century Gothic"/>
          <w:color w:val="1F497D" w:themeColor="text2"/>
          <w:sz w:val="24"/>
          <w:szCs w:val="24"/>
        </w:rPr>
        <w:t xml:space="preserve"> per la durata di 36 mesi, </w:t>
      </w:r>
      <w:r w:rsidRPr="00A046F4">
        <w:rPr>
          <w:rFonts w:ascii="Century Gothic" w:hAnsi="Century Gothic"/>
          <w:color w:val="1F497D" w:themeColor="text2"/>
          <w:sz w:val="24"/>
          <w:szCs w:val="24"/>
        </w:rPr>
        <w:t xml:space="preserve">pari ad </w:t>
      </w:r>
      <w:r w:rsidR="004E087D" w:rsidRPr="00A046F4">
        <w:rPr>
          <w:rFonts w:ascii="Century Gothic" w:hAnsi="Century Gothic"/>
          <w:color w:val="1F497D" w:themeColor="text2"/>
          <w:sz w:val="24"/>
          <w:szCs w:val="24"/>
        </w:rPr>
        <w:t>euro</w:t>
      </w:r>
      <w:r w:rsidRPr="00A046F4">
        <w:rPr>
          <w:rFonts w:ascii="Century Gothic" w:hAnsi="Century Gothic"/>
          <w:color w:val="1F497D" w:themeColor="text2"/>
          <w:sz w:val="24"/>
          <w:szCs w:val="24"/>
        </w:rPr>
        <w:t xml:space="preserve"> </w:t>
      </w:r>
      <w:r>
        <w:rPr>
          <w:rFonts w:ascii="Century Gothic" w:hAnsi="Century Gothic"/>
          <w:color w:val="1F497D" w:themeColor="text2"/>
          <w:sz w:val="24"/>
          <w:szCs w:val="24"/>
        </w:rPr>
        <w:t>200</w:t>
      </w:r>
      <w:r w:rsidRPr="00A046F4">
        <w:rPr>
          <w:rFonts w:ascii="Century Gothic" w:hAnsi="Century Gothic"/>
          <w:color w:val="1F497D" w:themeColor="text2"/>
          <w:sz w:val="24"/>
          <w:szCs w:val="24"/>
        </w:rPr>
        <w:t>.000 (</w:t>
      </w:r>
      <w:r>
        <w:rPr>
          <w:rFonts w:ascii="Century Gothic" w:hAnsi="Century Gothic"/>
          <w:color w:val="1F497D" w:themeColor="text2"/>
          <w:sz w:val="24"/>
          <w:szCs w:val="24"/>
        </w:rPr>
        <w:t>duecentomila</w:t>
      </w:r>
      <w:r w:rsidRPr="00A046F4">
        <w:rPr>
          <w:rFonts w:ascii="Century Gothic" w:hAnsi="Century Gothic"/>
          <w:color w:val="1F497D" w:themeColor="text2"/>
          <w:sz w:val="24"/>
          <w:szCs w:val="24"/>
        </w:rPr>
        <w:t>/00) IVA</w:t>
      </w:r>
      <w:r w:rsidRPr="00B910FC">
        <w:rPr>
          <w:rFonts w:ascii="Century Gothic" w:hAnsi="Century Gothic"/>
          <w:color w:val="1F497D" w:themeColor="text2"/>
          <w:sz w:val="24"/>
          <w:szCs w:val="24"/>
        </w:rPr>
        <w:t xml:space="preserve"> esclusa.</w:t>
      </w:r>
    </w:p>
    <w:p w:rsidR="00ED7389" w:rsidRDefault="00ED7389" w:rsidP="00ED7389">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rsidR="009F2F2C" w:rsidRDefault="009F2F2C">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rsidR="00ED7389" w:rsidRPr="004E087D" w:rsidRDefault="00ED7389" w:rsidP="004E087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E087D">
        <w:rPr>
          <w:rFonts w:ascii="Century Gothic" w:hAnsi="Century Gothic" w:cs="Courier New"/>
          <w:b/>
          <w:bCs/>
          <w:i/>
          <w:color w:val="1F497D" w:themeColor="text2"/>
          <w:sz w:val="24"/>
          <w:szCs w:val="24"/>
        </w:rPr>
        <w:lastRenderedPageBreak/>
        <w:t>Descrizione delle specifiche del prodotto in uso</w:t>
      </w:r>
    </w:p>
    <w:p w:rsidR="00ED7389" w:rsidRDefault="00ED7389" w:rsidP="006B7979">
      <w:pPr>
        <w:tabs>
          <w:tab w:val="left" w:pos="8789"/>
        </w:tabs>
        <w:ind w:left="567" w:right="565" w:firstLine="567"/>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L’attuale applicativo in uso è </w:t>
      </w:r>
      <w:r w:rsidR="006B7979" w:rsidRPr="00091D16">
        <w:rPr>
          <w:rFonts w:ascii="Century Gothic" w:hAnsi="Century Gothic"/>
          <w:color w:val="1F497D" w:themeColor="text2"/>
          <w:sz w:val="24"/>
          <w:szCs w:val="24"/>
        </w:rPr>
        <w:t>“</w:t>
      </w:r>
      <w:proofErr w:type="spellStart"/>
      <w:r w:rsidR="006B7979" w:rsidRPr="00091D16">
        <w:rPr>
          <w:rFonts w:ascii="Century Gothic" w:hAnsi="Century Gothic"/>
          <w:color w:val="1F497D" w:themeColor="text2"/>
          <w:sz w:val="24"/>
          <w:szCs w:val="24"/>
        </w:rPr>
        <w:t>EasyTelematico</w:t>
      </w:r>
      <w:proofErr w:type="spellEnd"/>
      <w:r w:rsidR="006B7979" w:rsidRPr="00091D16">
        <w:rPr>
          <w:rFonts w:ascii="Century Gothic" w:hAnsi="Century Gothic"/>
          <w:color w:val="1F497D" w:themeColor="text2"/>
          <w:sz w:val="24"/>
          <w:szCs w:val="24"/>
        </w:rPr>
        <w:t xml:space="preserve"> – Enti”</w:t>
      </w:r>
      <w:r>
        <w:rPr>
          <w:rFonts w:ascii="Century Gothic" w:hAnsi="Century Gothic"/>
          <w:color w:val="1F497D" w:themeColor="text2"/>
          <w:sz w:val="24"/>
          <w:szCs w:val="24"/>
        </w:rPr>
        <w:t xml:space="preserve"> in tale configurazione:</w:t>
      </w:r>
    </w:p>
    <w:p w:rsidR="00BC0A41" w:rsidRPr="004E087D" w:rsidRDefault="00BC0A41" w:rsidP="004E087D">
      <w:pPr>
        <w:pStyle w:val="Paragrafoelenco"/>
        <w:numPr>
          <w:ilvl w:val="0"/>
          <w:numId w:val="14"/>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n.200 licenze d’uso versione client </w:t>
      </w:r>
      <w:proofErr w:type="spellStart"/>
      <w:r w:rsidRPr="004E087D">
        <w:rPr>
          <w:rFonts w:ascii="Century Gothic" w:hAnsi="Century Gothic"/>
          <w:color w:val="1F497D" w:themeColor="text2"/>
          <w:sz w:val="24"/>
          <w:szCs w:val="24"/>
        </w:rPr>
        <w:t>floating</w:t>
      </w:r>
      <w:proofErr w:type="spellEnd"/>
      <w:r w:rsidR="00ED7389" w:rsidRPr="004E087D">
        <w:rPr>
          <w:rFonts w:ascii="Century Gothic" w:hAnsi="Century Gothic"/>
          <w:color w:val="1F497D" w:themeColor="text2"/>
          <w:sz w:val="24"/>
          <w:szCs w:val="24"/>
        </w:rPr>
        <w:t>;</w:t>
      </w:r>
    </w:p>
    <w:p w:rsidR="00BC0A41" w:rsidRPr="004E087D" w:rsidRDefault="00BC0A41" w:rsidP="004E087D">
      <w:pPr>
        <w:pStyle w:val="Paragrafoelenco"/>
        <w:numPr>
          <w:ilvl w:val="0"/>
          <w:numId w:val="14"/>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licenza d’uso versione server</w:t>
      </w:r>
      <w:r w:rsidR="00ED7389" w:rsidRPr="004E087D">
        <w:rPr>
          <w:rFonts w:ascii="Century Gothic" w:hAnsi="Century Gothic"/>
          <w:color w:val="1F497D" w:themeColor="text2"/>
          <w:sz w:val="24"/>
          <w:szCs w:val="24"/>
        </w:rPr>
        <w:t>.</w:t>
      </w:r>
    </w:p>
    <w:p w:rsidR="00677805" w:rsidRPr="00677805" w:rsidRDefault="00ED7389" w:rsidP="00677805">
      <w:pPr>
        <w:tabs>
          <w:tab w:val="left" w:pos="8789"/>
        </w:tabs>
        <w:ind w:left="567"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Tale </w:t>
      </w:r>
      <w:r w:rsidRPr="00704575">
        <w:rPr>
          <w:rFonts w:ascii="Century Gothic" w:hAnsi="Century Gothic"/>
          <w:color w:val="1F497D" w:themeColor="text2"/>
          <w:sz w:val="24"/>
          <w:szCs w:val="24"/>
        </w:rPr>
        <w:t xml:space="preserve">applicativo </w:t>
      </w:r>
      <w:r>
        <w:rPr>
          <w:rFonts w:ascii="Century Gothic" w:hAnsi="Century Gothic"/>
          <w:color w:val="1F497D" w:themeColor="text2"/>
          <w:sz w:val="24"/>
          <w:szCs w:val="24"/>
        </w:rPr>
        <w:t>soddisfa quanto indicato nel paragrafo precedente ed i</w:t>
      </w:r>
      <w:r w:rsidR="00677805" w:rsidRPr="00677805">
        <w:rPr>
          <w:rFonts w:ascii="Century Gothic" w:hAnsi="Century Gothic"/>
          <w:color w:val="1F497D" w:themeColor="text2"/>
          <w:sz w:val="24"/>
          <w:szCs w:val="24"/>
        </w:rPr>
        <w:t xml:space="preserve">n virtù degli obblighi citati e nell’ambito delle attività svolte in relazione alla gestione del Contenzioso di Riscossione, </w:t>
      </w:r>
      <w:r>
        <w:rPr>
          <w:rFonts w:ascii="Century Gothic" w:hAnsi="Century Gothic"/>
          <w:color w:val="1F497D" w:themeColor="text2"/>
          <w:sz w:val="24"/>
          <w:szCs w:val="24"/>
        </w:rPr>
        <w:t>consente:</w:t>
      </w:r>
    </w:p>
    <w:p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Estensione delle funzioni di deposito telematico con una sezione apposita per il deposito degli atti relativi al processo amministrativo telematico presso i TAR ed il Consiglio di Stato</w:t>
      </w:r>
      <w:r w:rsidR="00ED7389">
        <w:rPr>
          <w:rFonts w:ascii="Century Gothic" w:hAnsi="Century Gothic"/>
          <w:color w:val="1F497D" w:themeColor="text2"/>
          <w:sz w:val="24"/>
          <w:szCs w:val="24"/>
        </w:rPr>
        <w:t>;</w:t>
      </w:r>
    </w:p>
    <w:p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Gestione dei messaggi relativi agli avvisi ed agli esiti dei depositi effettuati presso i TAR ed il Consiglio di Stato ricevuti alla </w:t>
      </w:r>
      <w:r w:rsidR="00ED7389">
        <w:rPr>
          <w:rFonts w:ascii="Century Gothic" w:hAnsi="Century Gothic"/>
          <w:color w:val="1F497D" w:themeColor="text2"/>
          <w:sz w:val="24"/>
          <w:szCs w:val="24"/>
        </w:rPr>
        <w:t>PEC</w:t>
      </w:r>
      <w:r w:rsidRPr="004E087D">
        <w:rPr>
          <w:rFonts w:ascii="Century Gothic" w:hAnsi="Century Gothic"/>
          <w:color w:val="1F497D" w:themeColor="text2"/>
          <w:sz w:val="24"/>
          <w:szCs w:val="24"/>
        </w:rPr>
        <w:t xml:space="preserve"> societaria deputata al PCT</w:t>
      </w:r>
      <w:r w:rsidR="00ED7389">
        <w:rPr>
          <w:rFonts w:ascii="Century Gothic" w:hAnsi="Century Gothic"/>
          <w:color w:val="1F497D" w:themeColor="text2"/>
          <w:sz w:val="24"/>
          <w:szCs w:val="24"/>
        </w:rPr>
        <w:t>;</w:t>
      </w:r>
    </w:p>
    <w:p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Gestione dei messaggi ricevuti alla </w:t>
      </w:r>
      <w:r w:rsidR="00ED7389">
        <w:rPr>
          <w:rFonts w:ascii="Century Gothic" w:hAnsi="Century Gothic"/>
          <w:color w:val="1F497D" w:themeColor="text2"/>
          <w:sz w:val="24"/>
          <w:szCs w:val="24"/>
        </w:rPr>
        <w:t>PEC</w:t>
      </w:r>
      <w:r w:rsidRPr="004E087D">
        <w:rPr>
          <w:rFonts w:ascii="Century Gothic" w:hAnsi="Century Gothic"/>
          <w:color w:val="1F497D" w:themeColor="text2"/>
          <w:sz w:val="24"/>
          <w:szCs w:val="24"/>
        </w:rPr>
        <w:t xml:space="preserve"> societaria relativamente agli esiti dei depositi per il processo tributario telematico inoltrati tramite il sistema </w:t>
      </w:r>
      <w:proofErr w:type="gramStart"/>
      <w:r w:rsidRPr="004E087D">
        <w:rPr>
          <w:rFonts w:ascii="Century Gothic" w:hAnsi="Century Gothic"/>
          <w:color w:val="1F497D" w:themeColor="text2"/>
          <w:sz w:val="24"/>
          <w:szCs w:val="24"/>
        </w:rPr>
        <w:t>SI.GI.T.</w:t>
      </w:r>
      <w:proofErr w:type="gramEnd"/>
      <w:r w:rsidRPr="004E087D">
        <w:rPr>
          <w:rFonts w:ascii="Century Gothic" w:hAnsi="Century Gothic"/>
          <w:color w:val="1F497D" w:themeColor="text2"/>
          <w:sz w:val="24"/>
          <w:szCs w:val="24"/>
        </w:rPr>
        <w:t xml:space="preserve"> della giustizia tributaria, secondo quanto specificato nell’articolo 7 del D.M. 4.8.2015, in merito alle comunicazioni inviate alla PEC del soggetto abilitato</w:t>
      </w:r>
      <w:r w:rsidR="00ED7389">
        <w:rPr>
          <w:rFonts w:ascii="Century Gothic" w:hAnsi="Century Gothic"/>
          <w:color w:val="1F497D" w:themeColor="text2"/>
          <w:sz w:val="24"/>
          <w:szCs w:val="24"/>
        </w:rPr>
        <w:t>;</w:t>
      </w:r>
    </w:p>
    <w:p w:rsidR="00444BDF" w:rsidRPr="004E087D" w:rsidRDefault="00444BDF"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Generazione dell’attestazione di copia conforme e firma digitale di più allegati contemporaneamente</w:t>
      </w:r>
      <w:r w:rsidR="00ED7389">
        <w:rPr>
          <w:rFonts w:ascii="Century Gothic" w:hAnsi="Century Gothic"/>
          <w:color w:val="1F497D" w:themeColor="text2"/>
          <w:sz w:val="24"/>
          <w:szCs w:val="24"/>
        </w:rPr>
        <w:t>;</w:t>
      </w:r>
    </w:p>
    <w:p w:rsidR="00444BDF" w:rsidRPr="004E087D" w:rsidRDefault="00677805"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F</w:t>
      </w:r>
      <w:r w:rsidR="00444BDF" w:rsidRPr="004E087D">
        <w:rPr>
          <w:rFonts w:ascii="Century Gothic" w:hAnsi="Century Gothic"/>
          <w:color w:val="1F497D" w:themeColor="text2"/>
          <w:sz w:val="24"/>
          <w:szCs w:val="24"/>
        </w:rPr>
        <w:t>unzionalità di ricerca mirata all’interno dell’applicativo (es. per codice fiscale);</w:t>
      </w:r>
    </w:p>
    <w:p w:rsidR="00444BDF" w:rsidRPr="004E087D" w:rsidRDefault="00677805" w:rsidP="004E087D">
      <w:pPr>
        <w:pStyle w:val="Paragrafoelenco"/>
        <w:numPr>
          <w:ilvl w:val="0"/>
          <w:numId w:val="15"/>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F</w:t>
      </w:r>
      <w:r w:rsidR="00444BDF" w:rsidRPr="004E087D">
        <w:rPr>
          <w:rFonts w:ascii="Century Gothic" w:hAnsi="Century Gothic"/>
          <w:color w:val="1F497D" w:themeColor="text2"/>
          <w:sz w:val="24"/>
          <w:szCs w:val="24"/>
        </w:rPr>
        <w:t xml:space="preserve">unzionalità afferenti </w:t>
      </w:r>
      <w:proofErr w:type="gramStart"/>
      <w:r w:rsidR="00444BDF" w:rsidRPr="004E087D">
        <w:rPr>
          <w:rFonts w:ascii="Century Gothic" w:hAnsi="Century Gothic"/>
          <w:color w:val="1F497D" w:themeColor="text2"/>
          <w:sz w:val="24"/>
          <w:szCs w:val="24"/>
        </w:rPr>
        <w:t>la</w:t>
      </w:r>
      <w:proofErr w:type="gramEnd"/>
      <w:r w:rsidR="00444BDF" w:rsidRPr="004E087D">
        <w:rPr>
          <w:rFonts w:ascii="Century Gothic" w:hAnsi="Century Gothic"/>
          <w:color w:val="1F497D" w:themeColor="text2"/>
          <w:sz w:val="24"/>
          <w:szCs w:val="24"/>
        </w:rPr>
        <w:t xml:space="preserve"> gestione delle udienze presenti nell’Agenda per fascicolo ed operatore. </w:t>
      </w:r>
    </w:p>
    <w:p w:rsidR="00437365" w:rsidRDefault="00437365">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ha la capacità tecnica per soddisfare il fabbisogno per l’acquisizione delle licenze “</w:t>
      </w:r>
      <w:r w:rsidR="00677805">
        <w:rPr>
          <w:rFonts w:ascii="Century Gothic" w:hAnsi="Century Gothic" w:cs="Courier New"/>
          <w:color w:val="1F497D" w:themeColor="text2"/>
          <w:sz w:val="24"/>
        </w:rPr>
        <w:t>Easy Telematico Enti</w:t>
      </w:r>
      <w:r>
        <w:rPr>
          <w:rFonts w:ascii="Century Gothic" w:hAnsi="Century Gothic" w:cs="Courier New"/>
          <w:color w:val="1F497D" w:themeColor="text2"/>
          <w:sz w:val="24"/>
        </w:rPr>
        <w:t>” e dei relativi servizi di manutenzione indicato nei paragrafi precedenti e in uso presso l’Agenzia? In caso positivo, quali certificazioni possiede e/o quali accordi commerciali ha in essere con la società produttrice per la fornitura delle licenze e l’erogazione del servizio di manutenzione richiesti?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Pr="00646C9A" w:rsidRDefault="00C2086C" w:rsidP="0067780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delle 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r w:rsidR="00677805" w:rsidRPr="00677805">
        <w:rPr>
          <w:rFonts w:ascii="Century Gothic" w:hAnsi="Century Gothic" w:cs="Courier New"/>
          <w:color w:val="1F497D" w:themeColor="text2"/>
          <w:sz w:val="24"/>
        </w:rPr>
        <w:t>Easy Telematico Enti</w:t>
      </w:r>
      <w:r>
        <w:rPr>
          <w:rFonts w:ascii="Century Gothic" w:hAnsi="Century Gothic" w:cs="Courier New"/>
          <w:color w:val="1F497D" w:themeColor="text2"/>
          <w:sz w:val="24"/>
        </w:rPr>
        <w:t xml:space="preserve">” e dei relativi servizi di manutenzione quali elementi potrebbero essere considerati punti di forza, ovvero costituire un limite alla partecipazione all’iniziativa in oggetto?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tecnologiche alternative in grado di garantire le stesse funzionalità della soluzione di gestione </w:t>
      </w:r>
      <w:r w:rsidR="00A826C5">
        <w:rPr>
          <w:rFonts w:ascii="Century Gothic" w:hAnsi="Century Gothic" w:cs="Courier New"/>
          <w:color w:val="1F497D" w:themeColor="text2"/>
          <w:sz w:val="24"/>
        </w:rPr>
        <w:t xml:space="preserve">del Processo </w:t>
      </w:r>
      <w:r w:rsidR="00A826C5">
        <w:rPr>
          <w:rFonts w:ascii="Century Gothic" w:hAnsi="Century Gothic" w:cs="Courier New"/>
          <w:color w:val="1F497D" w:themeColor="text2"/>
          <w:sz w:val="24"/>
        </w:rPr>
        <w:lastRenderedPageBreak/>
        <w:t>Civile Telematico</w:t>
      </w:r>
      <w:r>
        <w:rPr>
          <w:rFonts w:ascii="Century Gothic" w:hAnsi="Century Gothic" w:cs="Courier New"/>
          <w:color w:val="1F497D" w:themeColor="text2"/>
          <w:sz w:val="24"/>
        </w:rPr>
        <w:t xml:space="preserve"> in uso presso l’Agenzia? In caso affermativo, si chiede di descrivere le caratteristiche delle soluzioni tecnologiche alternative e gli eventuali ambiti in cui sono impiegate.</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Processo Civile Telematico </w:t>
      </w:r>
      <w:r>
        <w:rPr>
          <w:rFonts w:ascii="Century Gothic" w:hAnsi="Century Gothic" w:cs="Courier New"/>
          <w:color w:val="1F497D" w:themeColor="text2"/>
          <w:sz w:val="24"/>
        </w:rPr>
        <w:t>in uso presso l’Agenzia in grado di garantire le stesse funzionalità, quali sono le variabili tecniche delle soluzioni proposte (es. servizio in cloud, open source, etc.)?</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Processo Civile Telematico </w:t>
      </w:r>
      <w:r>
        <w:rPr>
          <w:rFonts w:ascii="Century Gothic" w:hAnsi="Century Gothic" w:cs="Courier New"/>
          <w:color w:val="1F497D" w:themeColor="text2"/>
          <w:sz w:val="24"/>
        </w:rPr>
        <w:t>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Processo Civile Telematico </w:t>
      </w:r>
      <w:r>
        <w:rPr>
          <w:rFonts w:ascii="Century Gothic" w:hAnsi="Century Gothic" w:cs="Courier New"/>
          <w:color w:val="1F497D" w:themeColor="text2"/>
          <w:sz w:val="24"/>
        </w:rPr>
        <w:t xml:space="preserve">in uso presso l’Agenzia in grado di garantire le stesse funzionalità della soluzione </w:t>
      </w:r>
      <w:r>
        <w:rPr>
          <w:rFonts w:ascii="Century Gothic" w:hAnsi="Century Gothic" w:cs="Courier New"/>
          <w:color w:val="1F497D" w:themeColor="text2"/>
          <w:sz w:val="24"/>
        </w:rPr>
        <w:lastRenderedPageBreak/>
        <w:t xml:space="preserve">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793" w:rsidRDefault="00C94793">
      <w:pPr>
        <w:spacing w:after="0" w:line="240" w:lineRule="auto"/>
      </w:pPr>
      <w:r>
        <w:separator/>
      </w:r>
    </w:p>
  </w:endnote>
  <w:endnote w:type="continuationSeparator" w:id="0">
    <w:p w:rsidR="00C94793" w:rsidRDefault="00C9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6B357FC2">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320363DD">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5D0112">
    <w:pPr>
      <w:pStyle w:val="Pidipagina"/>
      <w:jc w:val="right"/>
    </w:pPr>
  </w:p>
  <w:p w:rsidR="005D0112" w:rsidRDefault="005D0112">
    <w:pPr>
      <w:pStyle w:val="Pidipagina"/>
      <w:jc w:val="right"/>
    </w:pPr>
  </w:p>
  <w:p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065F6DF3">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7FAE5871">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w:t>
                          </w:r>
                          <w:proofErr w:type="spellStart"/>
                          <w:r>
                            <w:rPr>
                              <w:rFonts w:ascii="Century Gothic" w:hAnsi="Century Gothic" w:cs="Arial"/>
                              <w:color w:val="1F497D"/>
                              <w:sz w:val="16"/>
                              <w:szCs w:val="14"/>
                            </w:rPr>
                            <w:t>Grezar</w:t>
                          </w:r>
                          <w:proofErr w:type="spellEnd"/>
                          <w:r>
                            <w:rPr>
                              <w:rFonts w:ascii="Century Gothic" w:hAnsi="Century Gothic" w:cs="Arial"/>
                              <w:color w:val="1F497D"/>
                              <w:sz w:val="16"/>
                              <w:szCs w:val="14"/>
                            </w:rPr>
                            <w:t>,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wps:txbx>
                    <wps:bodyPr>
                      <a:noAutofit/>
                    </wps:bodyPr>
                  </wps:wsp>
                </a:graphicData>
              </a:graphic>
            </wp:anchor>
          </w:drawing>
        </mc:Choice>
        <mc:Fallback>
          <w:pict>
            <v:rect w14:anchorId="7FAE5871"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w:t>
                    </w:r>
                    <w:proofErr w:type="spellStart"/>
                    <w:r>
                      <w:rPr>
                        <w:rFonts w:ascii="Century Gothic" w:hAnsi="Century Gothic" w:cs="Arial"/>
                        <w:color w:val="1F497D"/>
                        <w:sz w:val="16"/>
                        <w:szCs w:val="14"/>
                      </w:rPr>
                      <w:t>Grezar</w:t>
                    </w:r>
                    <w:proofErr w:type="spellEnd"/>
                    <w:r>
                      <w:rPr>
                        <w:rFonts w:ascii="Century Gothic" w:hAnsi="Century Gothic" w:cs="Arial"/>
                        <w:color w:val="1F497D"/>
                        <w:sz w:val="16"/>
                        <w:szCs w:val="14"/>
                      </w:rPr>
                      <w:t>,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v:textbox>
            </v:rect>
          </w:pict>
        </mc:Fallback>
      </mc:AlternateContent>
    </w:r>
  </w:p>
  <w:p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793" w:rsidRDefault="00C94793">
      <w:pPr>
        <w:spacing w:after="0" w:line="240" w:lineRule="auto"/>
      </w:pPr>
      <w:r>
        <w:separator/>
      </w:r>
    </w:p>
  </w:footnote>
  <w:footnote w:type="continuationSeparator" w:id="0">
    <w:p w:rsidR="00C94793" w:rsidRDefault="00C94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207CD264">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62" behindDoc="1" locked="0" layoutInCell="1" allowOverlap="1" wp14:anchorId="6B2D383E">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76" behindDoc="1" locked="0" layoutInCell="1" allowOverlap="1" wp14:anchorId="0E95B3AC">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217DECF6">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3" behindDoc="1" locked="0" layoutInCell="1" allowOverlap="1" wp14:anchorId="329C9E9E">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4" behindDoc="1" locked="0" layoutInCell="1" allowOverlap="1" wp14:anchorId="240B82F0">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4"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5"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6"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0"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1"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4"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1"/>
  </w:num>
  <w:num w:numId="2">
    <w:abstractNumId w:val="8"/>
  </w:num>
  <w:num w:numId="3">
    <w:abstractNumId w:val="5"/>
  </w:num>
  <w:num w:numId="4">
    <w:abstractNumId w:val="4"/>
  </w:num>
  <w:num w:numId="5">
    <w:abstractNumId w:val="10"/>
  </w:num>
  <w:num w:numId="6">
    <w:abstractNumId w:val="2"/>
  </w:num>
  <w:num w:numId="7">
    <w:abstractNumId w:val="0"/>
  </w:num>
  <w:num w:numId="8">
    <w:abstractNumId w:val="6"/>
  </w:num>
  <w:num w:numId="9">
    <w:abstractNumId w:val="3"/>
  </w:num>
  <w:num w:numId="10">
    <w:abstractNumId w:val="7"/>
  </w:num>
  <w:num w:numId="11">
    <w:abstractNumId w:val="9"/>
  </w:num>
  <w:num w:numId="12">
    <w:abstractNumId w:val="1"/>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91D16"/>
    <w:rsid w:val="000D08F7"/>
    <w:rsid w:val="000F7382"/>
    <w:rsid w:val="00136CE2"/>
    <w:rsid w:val="00437365"/>
    <w:rsid w:val="00444BDF"/>
    <w:rsid w:val="004E087D"/>
    <w:rsid w:val="00500DDB"/>
    <w:rsid w:val="0051195C"/>
    <w:rsid w:val="005272AB"/>
    <w:rsid w:val="005B587F"/>
    <w:rsid w:val="005D0112"/>
    <w:rsid w:val="00600E77"/>
    <w:rsid w:val="00646C9A"/>
    <w:rsid w:val="00661473"/>
    <w:rsid w:val="00677805"/>
    <w:rsid w:val="006B7979"/>
    <w:rsid w:val="00702485"/>
    <w:rsid w:val="008D0E34"/>
    <w:rsid w:val="00902241"/>
    <w:rsid w:val="009D22F4"/>
    <w:rsid w:val="009D7A32"/>
    <w:rsid w:val="009E5AFD"/>
    <w:rsid w:val="009F2F2C"/>
    <w:rsid w:val="00A826C5"/>
    <w:rsid w:val="00AE6548"/>
    <w:rsid w:val="00B37696"/>
    <w:rsid w:val="00BC0A41"/>
    <w:rsid w:val="00C077E2"/>
    <w:rsid w:val="00C2086C"/>
    <w:rsid w:val="00C77D26"/>
    <w:rsid w:val="00C94793"/>
    <w:rsid w:val="00CF1FA7"/>
    <w:rsid w:val="00D37BA9"/>
    <w:rsid w:val="00DA597B"/>
    <w:rsid w:val="00EA00D1"/>
    <w:rsid w:val="00EC2B63"/>
    <w:rsid w:val="00ED7389"/>
    <w:rsid w:val="00F02E72"/>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7A0B"/>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styleId="Menzionenonrisolta">
    <w:name w:val="Unresolved Mention"/>
    <w:basedOn w:val="Carpredefinitoparagrafo"/>
    <w:uiPriority w:val="99"/>
    <w:semiHidden/>
    <w:unhideWhenUsed/>
    <w:rsid w:val="00C07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purl.org/dc/dcmitype/"/>
    <ds:schemaRef ds:uri="http://purl.org/dc/elements/1.1/"/>
    <ds:schemaRef ds:uri="http://schemas.microsoft.com/office/2006/metadata/properties"/>
    <ds:schemaRef ds:uri="http://schemas.microsoft.com/sharepoint/v3"/>
    <ds:schemaRef ds:uri="4fc7d786-1831-4f89-a212-a304f6a3d9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c2d241-3083-4529-b0a6-262ec50760ed"/>
    <ds:schemaRef ds:uri="http://www.w3.org/XML/1998/namespace"/>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7A31506D-CAB7-4BF3-9850-6E03DEE3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3051</Words>
  <Characters>17393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2</cp:revision>
  <cp:lastPrinted>2019-07-11T07:03:00Z</cp:lastPrinted>
  <dcterms:created xsi:type="dcterms:W3CDTF">2020-03-05T12:59:00Z</dcterms:created>
  <dcterms:modified xsi:type="dcterms:W3CDTF">2020-03-05T12:59:00Z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