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019F0"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681D57E7" wp14:editId="48C21F0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F7BCA08"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22AFF384" w14:textId="77777777" w:rsidR="00B41E8E" w:rsidRDefault="00B41E8E" w:rsidP="00E106C5">
      <w:pPr>
        <w:ind w:left="567" w:right="565"/>
        <w:jc w:val="both"/>
        <w:rPr>
          <w:rFonts w:ascii="Century Gothic" w:hAnsi="Century Gothic" w:cs="Courier New"/>
          <w:color w:val="1F497D" w:themeColor="text2"/>
          <w:sz w:val="24"/>
        </w:rPr>
      </w:pPr>
    </w:p>
    <w:p w14:paraId="531DD4EF" w14:textId="77777777" w:rsidR="00BB0AC2" w:rsidRDefault="00BB0AC2" w:rsidP="00E106C5">
      <w:pPr>
        <w:ind w:left="567" w:right="565"/>
        <w:jc w:val="both"/>
        <w:rPr>
          <w:rFonts w:ascii="Century Gothic" w:hAnsi="Century Gothic" w:cs="Courier New"/>
          <w:b/>
          <w:color w:val="1F497D" w:themeColor="text2"/>
          <w:sz w:val="28"/>
        </w:rPr>
      </w:pPr>
    </w:p>
    <w:p w14:paraId="3A7EC7B1" w14:textId="77777777" w:rsidR="00BB0AC2" w:rsidRDefault="00BB0AC2" w:rsidP="00E106C5">
      <w:pPr>
        <w:ind w:left="567" w:right="565"/>
        <w:jc w:val="both"/>
        <w:rPr>
          <w:rFonts w:ascii="Century Gothic" w:hAnsi="Century Gothic" w:cs="Courier New"/>
          <w:b/>
          <w:color w:val="1F497D" w:themeColor="text2"/>
          <w:sz w:val="28"/>
        </w:rPr>
      </w:pPr>
    </w:p>
    <w:p w14:paraId="2CBF963C" w14:textId="77777777" w:rsidR="00BB0AC2" w:rsidRDefault="00BB0AC2" w:rsidP="00E106C5">
      <w:pPr>
        <w:ind w:left="567" w:right="565"/>
        <w:jc w:val="both"/>
        <w:rPr>
          <w:rFonts w:ascii="Century Gothic" w:hAnsi="Century Gothic" w:cs="Courier New"/>
          <w:b/>
          <w:color w:val="1F497D" w:themeColor="text2"/>
          <w:sz w:val="28"/>
        </w:rPr>
      </w:pPr>
    </w:p>
    <w:p w14:paraId="4CF359D5" w14:textId="1D1A91A2"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w:t>
      </w:r>
      <w:proofErr w:type="gramStart"/>
      <w:r w:rsidR="00BB0AC2" w:rsidRPr="00117A46">
        <w:rPr>
          <w:rFonts w:ascii="Century Gothic" w:hAnsi="Century Gothic" w:cs="Courier New"/>
          <w:b/>
          <w:color w:val="1F497D" w:themeColor="text2"/>
          <w:sz w:val="28"/>
        </w:rPr>
        <w:t>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 xml:space="preserve">servizio di </w:t>
      </w:r>
      <w:r w:rsidR="002D1760">
        <w:rPr>
          <w:rFonts w:ascii="Century Gothic" w:hAnsi="Century Gothic" w:cs="Courier New"/>
          <w:b/>
          <w:color w:val="1F497D" w:themeColor="text2"/>
          <w:sz w:val="28"/>
        </w:rPr>
        <w:t xml:space="preserve">manutenzione delle licenze </w:t>
      </w:r>
      <w:proofErr w:type="spellStart"/>
      <w:r w:rsidR="002D1760">
        <w:rPr>
          <w:rFonts w:ascii="Century Gothic" w:hAnsi="Century Gothic" w:cs="Courier New"/>
          <w:b/>
          <w:color w:val="1F497D" w:themeColor="text2"/>
          <w:sz w:val="28"/>
        </w:rPr>
        <w:t>sw</w:t>
      </w:r>
      <w:proofErr w:type="spellEnd"/>
      <w:r w:rsidR="002D1760">
        <w:rPr>
          <w:rFonts w:ascii="Century Gothic" w:hAnsi="Century Gothic" w:cs="Courier New"/>
          <w:b/>
          <w:color w:val="1F497D" w:themeColor="text2"/>
          <w:sz w:val="28"/>
        </w:rPr>
        <w:t xml:space="preserve"> </w:t>
      </w:r>
      <w:r w:rsidR="005D0D19">
        <w:rPr>
          <w:rFonts w:ascii="Century Gothic" w:hAnsi="Century Gothic" w:cs="Courier New"/>
          <w:b/>
          <w:color w:val="1F497D" w:themeColor="text2"/>
          <w:sz w:val="28"/>
        </w:rPr>
        <w:t xml:space="preserve">relative al sistema </w:t>
      </w:r>
      <w:r w:rsidR="00653D23">
        <w:rPr>
          <w:rFonts w:ascii="Century Gothic" w:hAnsi="Century Gothic" w:cs="Courier New"/>
          <w:b/>
          <w:color w:val="1F497D" w:themeColor="text2"/>
          <w:sz w:val="28"/>
        </w:rPr>
        <w:t>SET</w:t>
      </w:r>
      <w:r w:rsidR="005D0D19">
        <w:rPr>
          <w:rFonts w:ascii="Century Gothic" w:hAnsi="Century Gothic" w:cs="Courier New"/>
          <w:b/>
          <w:color w:val="1F497D" w:themeColor="text2"/>
          <w:sz w:val="28"/>
        </w:rPr>
        <w:t xml:space="preserve"> non di proprietà di A</w:t>
      </w:r>
      <w:r w:rsidR="00653D23">
        <w:rPr>
          <w:rFonts w:ascii="Century Gothic" w:hAnsi="Century Gothic" w:cs="Courier New"/>
          <w:b/>
          <w:color w:val="1F497D" w:themeColor="text2"/>
          <w:sz w:val="28"/>
        </w:rPr>
        <w:t>genzia delle entrate-Riscossione</w:t>
      </w:r>
    </w:p>
    <w:p w14:paraId="2ECA18A5" w14:textId="77777777" w:rsidR="00990F33" w:rsidRDefault="00990F33" w:rsidP="00E106C5">
      <w:pPr>
        <w:ind w:left="567" w:right="565"/>
        <w:jc w:val="both"/>
        <w:rPr>
          <w:rFonts w:ascii="Century Gothic" w:hAnsi="Century Gothic" w:cs="Courier New"/>
          <w:b/>
          <w:bCs/>
          <w:i/>
          <w:color w:val="1F497D" w:themeColor="text2"/>
          <w:sz w:val="24"/>
        </w:rPr>
      </w:pPr>
    </w:p>
    <w:p w14:paraId="1A204ABC" w14:textId="77777777" w:rsidR="00BB0AC2" w:rsidRDefault="00BB0AC2" w:rsidP="00E106C5">
      <w:pPr>
        <w:ind w:left="567" w:right="565"/>
        <w:jc w:val="both"/>
        <w:rPr>
          <w:rFonts w:ascii="Century Gothic" w:hAnsi="Century Gothic" w:cs="Courier New"/>
          <w:b/>
          <w:bCs/>
          <w:i/>
          <w:color w:val="1F497D" w:themeColor="text2"/>
          <w:sz w:val="24"/>
        </w:rPr>
      </w:pPr>
    </w:p>
    <w:p w14:paraId="63DFCB23" w14:textId="77777777" w:rsidR="00BB0AC2" w:rsidRDefault="00BB0AC2" w:rsidP="00E106C5">
      <w:pPr>
        <w:ind w:left="567" w:right="565"/>
        <w:jc w:val="both"/>
        <w:rPr>
          <w:rFonts w:ascii="Century Gothic" w:hAnsi="Century Gothic" w:cs="Courier New"/>
          <w:b/>
          <w:bCs/>
          <w:i/>
          <w:color w:val="1F497D" w:themeColor="text2"/>
          <w:sz w:val="24"/>
        </w:rPr>
      </w:pPr>
    </w:p>
    <w:p w14:paraId="1B80EA70" w14:textId="77777777" w:rsidR="00BB0AC2" w:rsidRDefault="00BB0AC2" w:rsidP="00E106C5">
      <w:pPr>
        <w:ind w:left="567" w:right="565"/>
        <w:jc w:val="both"/>
        <w:rPr>
          <w:rFonts w:ascii="Century Gothic" w:hAnsi="Century Gothic" w:cs="Courier New"/>
          <w:b/>
          <w:bCs/>
          <w:i/>
          <w:color w:val="1F497D" w:themeColor="text2"/>
          <w:sz w:val="24"/>
        </w:rPr>
      </w:pPr>
    </w:p>
    <w:p w14:paraId="3BAE93AB" w14:textId="77777777" w:rsidR="00990F33" w:rsidRDefault="00990F33" w:rsidP="00E106C5">
      <w:pPr>
        <w:ind w:left="567" w:right="565"/>
        <w:jc w:val="both"/>
        <w:rPr>
          <w:rFonts w:ascii="Century Gothic" w:hAnsi="Century Gothic" w:cs="Courier New"/>
          <w:b/>
          <w:bCs/>
          <w:i/>
          <w:color w:val="1F497D" w:themeColor="text2"/>
          <w:sz w:val="24"/>
        </w:rPr>
      </w:pPr>
    </w:p>
    <w:p w14:paraId="3363DDD0" w14:textId="77777777" w:rsidR="00990F33" w:rsidRDefault="00990F33" w:rsidP="00E106C5">
      <w:pPr>
        <w:ind w:left="567" w:right="565"/>
        <w:jc w:val="both"/>
        <w:rPr>
          <w:rFonts w:ascii="Century Gothic" w:hAnsi="Century Gothic" w:cs="Courier New"/>
          <w:b/>
          <w:bCs/>
          <w:i/>
          <w:color w:val="1F497D" w:themeColor="text2"/>
          <w:sz w:val="24"/>
        </w:rPr>
      </w:pPr>
    </w:p>
    <w:p w14:paraId="19415479" w14:textId="77777777" w:rsidR="00990F33" w:rsidRDefault="00990F33" w:rsidP="00E106C5">
      <w:pPr>
        <w:ind w:left="567" w:right="565"/>
        <w:jc w:val="both"/>
        <w:rPr>
          <w:rFonts w:ascii="Century Gothic" w:hAnsi="Century Gothic" w:cs="Courier New"/>
          <w:b/>
          <w:bCs/>
          <w:i/>
          <w:color w:val="1F497D" w:themeColor="text2"/>
          <w:sz w:val="24"/>
        </w:rPr>
      </w:pPr>
    </w:p>
    <w:p w14:paraId="7A526C9C" w14:textId="77777777" w:rsidR="00990F33" w:rsidRDefault="00990F33" w:rsidP="00E106C5">
      <w:pPr>
        <w:ind w:left="567" w:right="565"/>
        <w:jc w:val="both"/>
        <w:rPr>
          <w:rFonts w:ascii="Century Gothic" w:hAnsi="Century Gothic" w:cs="Courier New"/>
          <w:b/>
          <w:bCs/>
          <w:i/>
          <w:color w:val="1F497D" w:themeColor="text2"/>
          <w:sz w:val="24"/>
        </w:rPr>
      </w:pPr>
    </w:p>
    <w:p w14:paraId="471DA7E3" w14:textId="77777777" w:rsidR="00990F33" w:rsidRDefault="00990F33" w:rsidP="00E106C5">
      <w:pPr>
        <w:ind w:left="567" w:right="565"/>
        <w:jc w:val="both"/>
        <w:rPr>
          <w:rFonts w:ascii="Century Gothic" w:hAnsi="Century Gothic" w:cs="Courier New"/>
          <w:b/>
          <w:bCs/>
          <w:i/>
          <w:color w:val="1F497D" w:themeColor="text2"/>
          <w:sz w:val="24"/>
        </w:rPr>
      </w:pPr>
    </w:p>
    <w:p w14:paraId="57BE9C2F" w14:textId="77777777" w:rsidR="00BB0AC2" w:rsidRDefault="00BB0AC2" w:rsidP="00E106C5">
      <w:pPr>
        <w:ind w:left="567" w:right="565"/>
        <w:jc w:val="both"/>
        <w:rPr>
          <w:rFonts w:ascii="Century Gothic" w:hAnsi="Century Gothic" w:cs="Courier New"/>
          <w:b/>
          <w:bCs/>
          <w:i/>
          <w:color w:val="1F497D" w:themeColor="text2"/>
          <w:sz w:val="24"/>
        </w:rPr>
      </w:pPr>
    </w:p>
    <w:p w14:paraId="467AA66B" w14:textId="77777777" w:rsidR="00BB0AC2" w:rsidRDefault="00BB0AC2" w:rsidP="00E106C5">
      <w:pPr>
        <w:ind w:left="567" w:right="565"/>
        <w:jc w:val="both"/>
        <w:rPr>
          <w:rFonts w:ascii="Century Gothic" w:hAnsi="Century Gothic" w:cs="Courier New"/>
          <w:b/>
          <w:bCs/>
          <w:i/>
          <w:color w:val="1F497D" w:themeColor="text2"/>
          <w:sz w:val="24"/>
        </w:rPr>
      </w:pPr>
    </w:p>
    <w:p w14:paraId="6A4F2D90" w14:textId="77777777" w:rsidR="00BB0AC2" w:rsidRDefault="00BB0AC2" w:rsidP="00E106C5">
      <w:pPr>
        <w:ind w:left="567" w:right="565"/>
        <w:jc w:val="both"/>
        <w:rPr>
          <w:rFonts w:ascii="Century Gothic" w:hAnsi="Century Gothic" w:cs="Courier New"/>
          <w:b/>
          <w:bCs/>
          <w:i/>
          <w:color w:val="1F497D" w:themeColor="text2"/>
          <w:sz w:val="24"/>
        </w:rPr>
      </w:pPr>
    </w:p>
    <w:p w14:paraId="7A93CD38" w14:textId="77777777" w:rsidR="00BB0AC2" w:rsidRDefault="00BB0AC2" w:rsidP="00E106C5">
      <w:pPr>
        <w:ind w:left="567" w:right="565"/>
        <w:jc w:val="both"/>
        <w:rPr>
          <w:rFonts w:ascii="Century Gothic" w:hAnsi="Century Gothic" w:cs="Courier New"/>
          <w:b/>
          <w:bCs/>
          <w:i/>
          <w:color w:val="1F497D" w:themeColor="text2"/>
          <w:sz w:val="24"/>
        </w:rPr>
      </w:pPr>
    </w:p>
    <w:p w14:paraId="1334CA5E"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6B4436B6"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 xml:space="preserve">Via G. </w:t>
      </w:r>
      <w:proofErr w:type="spellStart"/>
      <w:r>
        <w:rPr>
          <w:rFonts w:ascii="Century Gothic" w:hAnsi="Century Gothic" w:cs="Courier New"/>
          <w:b/>
          <w:bCs/>
          <w:i/>
          <w:color w:val="1F497D" w:themeColor="text2"/>
          <w:sz w:val="20"/>
          <w:szCs w:val="20"/>
        </w:rPr>
        <w:t>Grezar</w:t>
      </w:r>
      <w:proofErr w:type="spellEnd"/>
      <w:r>
        <w:rPr>
          <w:rFonts w:ascii="Century Gothic" w:hAnsi="Century Gothic" w:cs="Courier New"/>
          <w:b/>
          <w:bCs/>
          <w:i/>
          <w:color w:val="1F497D" w:themeColor="text2"/>
          <w:sz w:val="20"/>
          <w:szCs w:val="20"/>
        </w:rPr>
        <w:t xml:space="preserve"> 14</w:t>
      </w:r>
    </w:p>
    <w:p w14:paraId="32F3D7A8"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4FA52577" w14:textId="77777777" w:rsidR="00990F33" w:rsidRDefault="000401B1"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0D9B337B"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1612A2B8" w14:textId="1F51B0D8"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 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2D1760">
        <w:rPr>
          <w:rFonts w:ascii="Century Gothic" w:hAnsi="Century Gothic" w:cs="Courier New"/>
          <w:color w:val="1F497D" w:themeColor="text2"/>
          <w:sz w:val="24"/>
          <w:szCs w:val="24"/>
        </w:rPr>
        <w:t xml:space="preserve">manutenzione delle licenze </w:t>
      </w:r>
      <w:proofErr w:type="spellStart"/>
      <w:r w:rsidR="002D1760">
        <w:rPr>
          <w:rFonts w:ascii="Century Gothic" w:hAnsi="Century Gothic" w:cs="Courier New"/>
          <w:color w:val="1F497D" w:themeColor="text2"/>
          <w:sz w:val="24"/>
          <w:szCs w:val="24"/>
        </w:rPr>
        <w:t>sw</w:t>
      </w:r>
      <w:proofErr w:type="spellEnd"/>
      <w:r w:rsidR="002D1760">
        <w:rPr>
          <w:rFonts w:ascii="Century Gothic" w:hAnsi="Century Gothic" w:cs="Courier New"/>
          <w:color w:val="1F497D" w:themeColor="text2"/>
          <w:sz w:val="24"/>
          <w:szCs w:val="24"/>
        </w:rPr>
        <w:t xml:space="preserve"> dei prodotti CAD</w:t>
      </w:r>
      <w:r w:rsidR="00653D23">
        <w:rPr>
          <w:rFonts w:ascii="Century Gothic" w:hAnsi="Century Gothic" w:cs="Courier New"/>
          <w:color w:val="1F497D" w:themeColor="text2"/>
          <w:sz w:val="24"/>
          <w:szCs w:val="24"/>
        </w:rPr>
        <w:t xml:space="preserve"> </w:t>
      </w:r>
      <w:r w:rsidR="002D1760">
        <w:rPr>
          <w:rFonts w:ascii="Century Gothic" w:hAnsi="Century Gothic" w:cs="Courier New"/>
          <w:color w:val="1F497D" w:themeColor="text2"/>
          <w:sz w:val="24"/>
          <w:szCs w:val="24"/>
        </w:rPr>
        <w:t xml:space="preserve">IT </w:t>
      </w:r>
      <w:proofErr w:type="spellStart"/>
      <w:r w:rsidR="00653D23">
        <w:rPr>
          <w:rFonts w:ascii="Century Gothic" w:hAnsi="Century Gothic" w:cs="Courier New"/>
          <w:color w:val="1F497D" w:themeColor="text2"/>
          <w:sz w:val="24"/>
          <w:szCs w:val="24"/>
        </w:rPr>
        <w:t>SpA</w:t>
      </w:r>
      <w:proofErr w:type="spellEnd"/>
      <w:r w:rsidR="00653D23">
        <w:rPr>
          <w:rFonts w:ascii="Century Gothic" w:hAnsi="Century Gothic" w:cs="Courier New"/>
          <w:color w:val="1F497D" w:themeColor="text2"/>
          <w:sz w:val="24"/>
          <w:szCs w:val="24"/>
        </w:rPr>
        <w:t xml:space="preserve"> </w:t>
      </w:r>
      <w:r w:rsidR="002D1760">
        <w:rPr>
          <w:rFonts w:ascii="Century Gothic" w:hAnsi="Century Gothic" w:cs="Courier New"/>
          <w:color w:val="1F497D" w:themeColor="text2"/>
          <w:sz w:val="24"/>
          <w:szCs w:val="24"/>
        </w:rPr>
        <w:t>denominati “kernel”, “City Workbench”, ed “</w:t>
      </w:r>
      <w:proofErr w:type="spellStart"/>
      <w:r w:rsidR="002D1760">
        <w:rPr>
          <w:rFonts w:ascii="Century Gothic" w:hAnsi="Century Gothic" w:cs="Courier New"/>
          <w:color w:val="1F497D" w:themeColor="text2"/>
          <w:sz w:val="24"/>
          <w:szCs w:val="24"/>
        </w:rPr>
        <w:t>Antiriclaggio</w:t>
      </w:r>
      <w:proofErr w:type="spellEnd"/>
      <w:r w:rsidR="002D1760">
        <w:rPr>
          <w:rFonts w:ascii="Century Gothic" w:hAnsi="Century Gothic" w:cs="Courier New"/>
          <w:color w:val="1F497D" w:themeColor="text2"/>
          <w:sz w:val="24"/>
          <w:szCs w:val="24"/>
        </w:rPr>
        <w:t>”</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sidR="009861C3">
        <w:rPr>
          <w:rFonts w:ascii="Century Gothic" w:hAnsi="Century Gothic" w:cs="Courier New"/>
          <w:color w:val="1F497D" w:themeColor="text2"/>
          <w:sz w:val="24"/>
        </w:rPr>
        <w:t>.</w:t>
      </w:r>
    </w:p>
    <w:p w14:paraId="63F926B0" w14:textId="77777777"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All’esito della presente consultazione l’Agenzia, ove ne ricorrano i presupposti, valuterà di procedere tramite procedura negoziata ai sensi dell’art. 63, comma 2 lett. b) per le eccezioni di cui ai punti 2) e 3) del D. Lgs 50/2016.</w:t>
      </w:r>
    </w:p>
    <w:p w14:paraId="684E1077"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15DA9FF7"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proofErr w:type="spellStart"/>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proofErr w:type="spellEnd"/>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7F378E6F"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11603203"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326B4FF8"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59E79D62"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C52EDF">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258D8C99"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25794CF"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34F4B120"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A3BEFFE"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5872B52B" w14:textId="77777777" w:rsidR="00BB0AC2" w:rsidRPr="00E628E2" w:rsidRDefault="00BB0AC2" w:rsidP="00BB0AC2">
      <w:pPr>
        <w:ind w:left="567" w:right="565"/>
        <w:jc w:val="both"/>
        <w:rPr>
          <w:rFonts w:ascii="Century Gothic" w:hAnsi="Century Gothic" w:cs="Courier New"/>
          <w:b/>
          <w:bCs/>
          <w:color w:val="1F497D" w:themeColor="text2"/>
          <w:sz w:val="24"/>
        </w:rPr>
      </w:pPr>
    </w:p>
    <w:p w14:paraId="439D20EA" w14:textId="2E194794"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0401B1" w:rsidRPr="000401B1">
        <w:rPr>
          <w:rFonts w:ascii="Century Gothic" w:hAnsi="Century Gothic" w:cs="Courier New"/>
          <w:b/>
          <w:color w:val="1F497D" w:themeColor="text2"/>
          <w:sz w:val="24"/>
        </w:rPr>
        <w:t>05</w:t>
      </w:r>
      <w:r w:rsidR="002D1760">
        <w:rPr>
          <w:rFonts w:ascii="Century Gothic" w:hAnsi="Century Gothic" w:cs="Courier New"/>
          <w:b/>
          <w:color w:val="1F497D" w:themeColor="text2"/>
          <w:sz w:val="24"/>
        </w:rPr>
        <w:t>/</w:t>
      </w:r>
      <w:r w:rsidR="00F55C4E">
        <w:rPr>
          <w:rFonts w:ascii="Century Gothic" w:hAnsi="Century Gothic" w:cs="Courier New"/>
          <w:b/>
          <w:color w:val="1F497D" w:themeColor="text2"/>
          <w:sz w:val="24"/>
        </w:rPr>
        <w:t>06</w:t>
      </w:r>
      <w:r w:rsidRPr="00C52EDF">
        <w:rPr>
          <w:rFonts w:ascii="Century Gothic" w:hAnsi="Century Gothic" w:cs="Courier New"/>
          <w:b/>
          <w:color w:val="1F497D" w:themeColor="text2"/>
          <w:sz w:val="24"/>
        </w:rPr>
        <w:t>/201</w:t>
      </w:r>
      <w:r w:rsidR="00C52EDF" w:rsidRPr="00C52EDF">
        <w:rPr>
          <w:rFonts w:ascii="Century Gothic" w:hAnsi="Century Gothic" w:cs="Courier New"/>
          <w:b/>
          <w:color w:val="1F497D" w:themeColor="text2"/>
          <w:sz w:val="24"/>
        </w:rPr>
        <w:t>9</w:t>
      </w:r>
    </w:p>
    <w:p w14:paraId="7E04993B"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11775FAD"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14:paraId="4AB5537C" w14:textId="77777777" w:rsidTr="006E0F31">
        <w:tc>
          <w:tcPr>
            <w:tcW w:w="4536" w:type="dxa"/>
            <w:tcBorders>
              <w:top w:val="single" w:sz="2" w:space="0" w:color="000080"/>
              <w:left w:val="nil"/>
              <w:bottom w:val="single" w:sz="2" w:space="0" w:color="000080"/>
              <w:right w:val="nil"/>
            </w:tcBorders>
            <w:vAlign w:val="center"/>
            <w:hideMark/>
          </w:tcPr>
          <w:p w14:paraId="2B9E3169"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6EDA6082"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14:paraId="0F7D2926" w14:textId="77777777" w:rsidTr="006E0F31">
        <w:tc>
          <w:tcPr>
            <w:tcW w:w="4536" w:type="dxa"/>
            <w:tcBorders>
              <w:top w:val="single" w:sz="2" w:space="0" w:color="000080"/>
              <w:left w:val="nil"/>
              <w:bottom w:val="single" w:sz="2" w:space="0" w:color="000080"/>
              <w:right w:val="nil"/>
            </w:tcBorders>
            <w:vAlign w:val="center"/>
            <w:hideMark/>
          </w:tcPr>
          <w:p w14:paraId="2950AA6B"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16A693B4"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4BC70885" w14:textId="77777777" w:rsidTr="006E0F31">
        <w:tc>
          <w:tcPr>
            <w:tcW w:w="4536" w:type="dxa"/>
            <w:tcBorders>
              <w:top w:val="single" w:sz="2" w:space="0" w:color="000080"/>
              <w:left w:val="nil"/>
              <w:bottom w:val="single" w:sz="2" w:space="0" w:color="000080"/>
              <w:right w:val="nil"/>
            </w:tcBorders>
            <w:vAlign w:val="center"/>
            <w:hideMark/>
          </w:tcPr>
          <w:p w14:paraId="4FA05897"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5738520"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148984CB" w14:textId="77777777" w:rsidTr="006E0F31">
        <w:tc>
          <w:tcPr>
            <w:tcW w:w="4536" w:type="dxa"/>
            <w:tcBorders>
              <w:top w:val="single" w:sz="2" w:space="0" w:color="000080"/>
              <w:left w:val="nil"/>
              <w:bottom w:val="single" w:sz="2" w:space="0" w:color="000080"/>
              <w:right w:val="nil"/>
            </w:tcBorders>
            <w:vAlign w:val="center"/>
            <w:hideMark/>
          </w:tcPr>
          <w:p w14:paraId="2D9EC5BC"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3F149AF5"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78DDAF2A" w14:textId="77777777" w:rsidTr="006E0F31">
        <w:tc>
          <w:tcPr>
            <w:tcW w:w="4536" w:type="dxa"/>
            <w:tcBorders>
              <w:top w:val="single" w:sz="2" w:space="0" w:color="000080"/>
              <w:left w:val="nil"/>
              <w:bottom w:val="single" w:sz="2" w:space="0" w:color="000080"/>
              <w:right w:val="nil"/>
            </w:tcBorders>
            <w:vAlign w:val="center"/>
            <w:hideMark/>
          </w:tcPr>
          <w:p w14:paraId="7AB826C6"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05B481A1"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0535E361" w14:textId="77777777" w:rsidTr="006E0F31">
        <w:tc>
          <w:tcPr>
            <w:tcW w:w="4536" w:type="dxa"/>
            <w:tcBorders>
              <w:top w:val="single" w:sz="2" w:space="0" w:color="000080"/>
              <w:left w:val="nil"/>
              <w:bottom w:val="single" w:sz="2" w:space="0" w:color="000080"/>
              <w:right w:val="nil"/>
            </w:tcBorders>
            <w:vAlign w:val="center"/>
            <w:hideMark/>
          </w:tcPr>
          <w:p w14:paraId="6B95C881"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6C39EC94"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527765A4" w14:textId="77777777" w:rsidTr="006E0F31">
        <w:tc>
          <w:tcPr>
            <w:tcW w:w="4536" w:type="dxa"/>
            <w:tcBorders>
              <w:top w:val="single" w:sz="2" w:space="0" w:color="000080"/>
              <w:left w:val="nil"/>
              <w:bottom w:val="single" w:sz="2" w:space="0" w:color="000080"/>
              <w:right w:val="nil"/>
            </w:tcBorders>
            <w:vAlign w:val="center"/>
            <w:hideMark/>
          </w:tcPr>
          <w:p w14:paraId="7F60AC38"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ABBD216"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9E53730" w14:textId="77777777" w:rsidTr="006E0F31">
        <w:tc>
          <w:tcPr>
            <w:tcW w:w="4536" w:type="dxa"/>
            <w:tcBorders>
              <w:top w:val="single" w:sz="2" w:space="0" w:color="000080"/>
              <w:left w:val="nil"/>
              <w:bottom w:val="single" w:sz="2" w:space="0" w:color="000080"/>
              <w:right w:val="nil"/>
            </w:tcBorders>
            <w:vAlign w:val="center"/>
            <w:hideMark/>
          </w:tcPr>
          <w:p w14:paraId="498321A4"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46AE5AFB"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bl>
    <w:p w14:paraId="5982E468"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0D815DEC"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36FCEF0B"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 (di seguito, per brevità,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con sede legale in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14 – 00142 Roma, codice fiscale e partita IVA: 13756881002 è Titolare del trattamento dei dati personali da Lei conferiti. </w:t>
      </w:r>
    </w:p>
    <w:p w14:paraId="206B3757"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4C36BCE0"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raccolta ed il trattamento dei predetti dati personali sono effettuati al solo fine di consentire ad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di condurre le attività connesse alla consultazione preliminare di mercato avvalendosi della facoltà prevista dall’art. 66 comma 1 del D. Lgs. n. 50/2016. </w:t>
      </w:r>
    </w:p>
    <w:p w14:paraId="6AF8C706"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4F80F5D"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C52EDF">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1B724911"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conservazione, da parte di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dei dati personali conferiti avverrà per il tempo necessario alla gestione della consultazione stessa. </w:t>
      </w:r>
    </w:p>
    <w:p w14:paraId="0A69C255" w14:textId="77777777" w:rsidR="00C52EDF" w:rsidRPr="00C52EDF" w:rsidDel="00C8387C"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se necessario per le finalità di cui sopra, potranno essere comunicati:</w:t>
      </w:r>
    </w:p>
    <w:p w14:paraId="1650F05A"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3A216C63"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F47D494"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ad altri eventuali soggetti terzi, nei casi espressamente previsti dalla legge, ovvero ancora se la comunicazione si renderà necessaria per la tutela di </w:t>
      </w:r>
      <w:proofErr w:type="spellStart"/>
      <w:r w:rsidRPr="00C52EDF">
        <w:rPr>
          <w:rFonts w:ascii="Century Gothic" w:hAnsi="Century Gothic" w:cs="Courier New"/>
          <w:color w:val="1F497D" w:themeColor="text2"/>
          <w:sz w:val="24"/>
          <w:szCs w:val="24"/>
        </w:rPr>
        <w:t>AdeR</w:t>
      </w:r>
      <w:proofErr w:type="spellEnd"/>
      <w:r w:rsidRPr="00C52EDF">
        <w:rPr>
          <w:rFonts w:ascii="Century Gothic" w:hAnsi="Century Gothic" w:cs="Courier New"/>
          <w:color w:val="1F497D" w:themeColor="text2"/>
          <w:sz w:val="24"/>
          <w:szCs w:val="24"/>
        </w:rPr>
        <w:t xml:space="preserve"> in sede giudiziaria, nel rispetto delle vigenti disposizioni in materia di protezione dei dati personali.</w:t>
      </w:r>
    </w:p>
    <w:p w14:paraId="71B2F799"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79D18D8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772EA7D6"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C52EDF">
          <w:rPr>
            <w:rFonts w:ascii="Century Gothic" w:hAnsi="Century Gothic" w:cs="Courier New"/>
            <w:color w:val="0000FF" w:themeColor="hyperlink"/>
            <w:sz w:val="24"/>
            <w:szCs w:val="24"/>
            <w:u w:val="single"/>
          </w:rPr>
          <w:t>https://www.agenziaentrateriscossione.gov.it/export/it/Gruppo/Modal</w:t>
        </w:r>
        <w:r w:rsidRPr="00C52EDF">
          <w:rPr>
            <w:rFonts w:ascii="Century Gothic" w:hAnsi="Century Gothic" w:cs="Courier New"/>
            <w:color w:val="0000FF" w:themeColor="hyperlink"/>
            <w:sz w:val="24"/>
            <w:szCs w:val="24"/>
            <w:u w:val="single"/>
          </w:rPr>
          <w:lastRenderedPageBreak/>
          <w:t>ita-di-presentazione-istanze.pdf</w:t>
        </w:r>
      </w:hyperlink>
      <w:r w:rsidRPr="00C52EDF">
        <w:rPr>
          <w:rFonts w:ascii="Century Gothic" w:hAnsi="Century Gothic" w:cs="Courier New"/>
          <w:color w:val="1F497D" w:themeColor="text2"/>
          <w:sz w:val="24"/>
          <w:szCs w:val="24"/>
        </w:rPr>
        <w:t>, i dati di contatto del Titolare del trattamento:</w:t>
      </w:r>
    </w:p>
    <w:p w14:paraId="53E9C76F" w14:textId="77777777" w:rsidR="00C52EDF" w:rsidRPr="00C52EDF" w:rsidRDefault="00C52EDF" w:rsidP="00C52EDF">
      <w:pPr>
        <w:ind w:left="567" w:right="565"/>
        <w:jc w:val="center"/>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entrate-Riscossione, Struttura a supporto del Responsabile della protezione dei dati, Via Giuseppe </w:t>
      </w:r>
      <w:proofErr w:type="spellStart"/>
      <w:r w:rsidRPr="00C52EDF">
        <w:rPr>
          <w:rFonts w:ascii="Century Gothic" w:hAnsi="Century Gothic" w:cs="Courier New"/>
          <w:color w:val="1F497D" w:themeColor="text2"/>
          <w:sz w:val="24"/>
          <w:szCs w:val="24"/>
        </w:rPr>
        <w:t>Grezar</w:t>
      </w:r>
      <w:proofErr w:type="spellEnd"/>
      <w:r w:rsidRPr="00C52EDF">
        <w:rPr>
          <w:rFonts w:ascii="Century Gothic" w:hAnsi="Century Gothic" w:cs="Courier New"/>
          <w:color w:val="1F497D" w:themeColor="text2"/>
          <w:sz w:val="24"/>
          <w:szCs w:val="24"/>
        </w:rPr>
        <w:t xml:space="preserve"> n. 14 – 00142 Roma oppure l’indirizzo di posta elettronica certificata: </w:t>
      </w:r>
      <w:hyperlink r:id="rId13" w:history="1">
        <w:r w:rsidRPr="00C52EDF">
          <w:rPr>
            <w:rFonts w:ascii="Century Gothic" w:hAnsi="Century Gothic" w:cs="Courier New"/>
            <w:color w:val="0000FF" w:themeColor="hyperlink"/>
            <w:sz w:val="24"/>
            <w:szCs w:val="24"/>
            <w:u w:val="single"/>
          </w:rPr>
          <w:t>protezione.dati@pec.agenziariscossione.gov.it</w:t>
        </w:r>
      </w:hyperlink>
      <w:r w:rsidRPr="00C52EDF">
        <w:rPr>
          <w:rFonts w:ascii="Century Gothic" w:hAnsi="Century Gothic" w:cs="Courier New"/>
          <w:color w:val="1F497D" w:themeColor="text2"/>
          <w:sz w:val="24"/>
          <w:szCs w:val="24"/>
        </w:rPr>
        <w:t>.</w:t>
      </w:r>
    </w:p>
    <w:p w14:paraId="4A94CF8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dato di contatto del Responsabile della protezione dei dati è: </w:t>
      </w:r>
      <w:hyperlink r:id="rId14" w:history="1">
        <w:r w:rsidRPr="00C52EDF">
          <w:rPr>
            <w:rFonts w:ascii="Century Gothic" w:hAnsi="Century Gothic" w:cs="Courier New"/>
            <w:color w:val="0000FF" w:themeColor="hyperlink"/>
            <w:sz w:val="24"/>
            <w:szCs w:val="24"/>
            <w:u w:val="single"/>
          </w:rPr>
          <w:t>dpo@pec.agenziariscossione.gov.it</w:t>
        </w:r>
      </w:hyperlink>
      <w:r w:rsidRPr="00C52EDF">
        <w:rPr>
          <w:rFonts w:ascii="Century Gothic" w:hAnsi="Century Gothic" w:cs="Courier New"/>
          <w:color w:val="1F497D" w:themeColor="text2"/>
          <w:sz w:val="24"/>
          <w:szCs w:val="24"/>
        </w:rPr>
        <w:t xml:space="preserve">. </w:t>
      </w:r>
    </w:p>
    <w:p w14:paraId="49EB597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64D3429A"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C52EDF">
          <w:rPr>
            <w:rFonts w:ascii="Century Gothic" w:hAnsi="Century Gothic" w:cs="Courier New"/>
            <w:color w:val="0000FF" w:themeColor="hyperlink"/>
            <w:sz w:val="24"/>
            <w:szCs w:val="24"/>
            <w:u w:val="single"/>
          </w:rPr>
          <w:t>www.garanteprivacy.it</w:t>
        </w:r>
      </w:hyperlink>
      <w:r w:rsidRPr="00C52EDF">
        <w:rPr>
          <w:rFonts w:ascii="Century Gothic" w:hAnsi="Century Gothic" w:cs="Courier New"/>
          <w:color w:val="1F497D" w:themeColor="text2"/>
          <w:sz w:val="24"/>
          <w:szCs w:val="24"/>
        </w:rPr>
        <w:t xml:space="preserve">. </w:t>
      </w:r>
    </w:p>
    <w:p w14:paraId="17AF0622" w14:textId="77777777" w:rsidR="00C52EDF" w:rsidRPr="00C52EDF" w:rsidRDefault="00C52EDF" w:rsidP="00C52EDF">
      <w:pPr>
        <w:ind w:left="567" w:right="565" w:firstLine="567"/>
        <w:jc w:val="both"/>
        <w:rPr>
          <w:rFonts w:ascii="Century Gothic" w:hAnsi="Century Gothic" w:cs="Courier New"/>
          <w:b/>
          <w:bCs/>
          <w:i/>
          <w:color w:val="1F497D" w:themeColor="text2"/>
          <w:sz w:val="24"/>
        </w:rPr>
      </w:pPr>
      <w:r w:rsidRPr="00C52ED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Pr="00C52EDF">
        <w:rPr>
          <w:rFonts w:ascii="Century Gothic" w:hAnsi="Century Gothic" w:cs="Courier New"/>
          <w:b/>
          <w:bCs/>
          <w:i/>
          <w:color w:val="1F497D" w:themeColor="text2"/>
          <w:sz w:val="24"/>
        </w:rPr>
        <w:br w:type="page"/>
      </w:r>
    </w:p>
    <w:p w14:paraId="308B0751"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60A47468" w14:textId="1BFA22C4"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Linee Guida dell’ANAC n. 8 del 17 ottobre 2017 “Ricorso a procedure negoziate senza previa pubblicazione di un bando nel caso di forniture e servizi ritenuti infungibili”, tramite la presente iniziativa intende:</w:t>
      </w:r>
    </w:p>
    <w:p w14:paraId="2012ACA6"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0776213E" w14:textId="4CA8BEE3"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w:t>
      </w:r>
      <w:r w:rsidR="00E3784D" w:rsidRPr="00E3784D">
        <w:rPr>
          <w:rFonts w:ascii="Century Gothic" w:hAnsi="Century Gothic"/>
          <w:color w:val="1F497D" w:themeColor="text2"/>
          <w:sz w:val="24"/>
          <w:szCs w:val="24"/>
        </w:rPr>
        <w:t xml:space="preserve">di manutenzione delle licenze </w:t>
      </w:r>
      <w:proofErr w:type="spellStart"/>
      <w:r w:rsidR="00E3784D" w:rsidRPr="00E3784D">
        <w:rPr>
          <w:rFonts w:ascii="Century Gothic" w:hAnsi="Century Gothic"/>
          <w:color w:val="1F497D" w:themeColor="text2"/>
          <w:sz w:val="24"/>
          <w:szCs w:val="24"/>
        </w:rPr>
        <w:t>sw</w:t>
      </w:r>
      <w:proofErr w:type="spellEnd"/>
      <w:r w:rsidR="005D0D19">
        <w:rPr>
          <w:rFonts w:ascii="Century Gothic" w:hAnsi="Century Gothic"/>
          <w:color w:val="1F497D" w:themeColor="text2"/>
          <w:sz w:val="24"/>
          <w:szCs w:val="24"/>
        </w:rPr>
        <w:t xml:space="preserve"> relative al sistema SET di proprietà di</w:t>
      </w:r>
      <w:r w:rsidR="00E3784D" w:rsidRPr="00E3784D">
        <w:rPr>
          <w:rFonts w:ascii="Century Gothic" w:hAnsi="Century Gothic"/>
          <w:color w:val="1F497D" w:themeColor="text2"/>
          <w:sz w:val="24"/>
          <w:szCs w:val="24"/>
        </w:rPr>
        <w:t xml:space="preserve"> CAD</w:t>
      </w:r>
      <w:r w:rsidR="00653D23">
        <w:rPr>
          <w:rFonts w:ascii="Century Gothic" w:hAnsi="Century Gothic"/>
          <w:color w:val="1F497D" w:themeColor="text2"/>
          <w:sz w:val="24"/>
          <w:szCs w:val="24"/>
        </w:rPr>
        <w:t xml:space="preserve"> </w:t>
      </w:r>
      <w:r w:rsidR="00E3784D" w:rsidRPr="00E3784D">
        <w:rPr>
          <w:rFonts w:ascii="Century Gothic" w:hAnsi="Century Gothic"/>
          <w:color w:val="1F497D" w:themeColor="text2"/>
          <w:sz w:val="24"/>
          <w:szCs w:val="24"/>
        </w:rPr>
        <w:t xml:space="preserve">IT </w:t>
      </w:r>
      <w:proofErr w:type="spellStart"/>
      <w:r w:rsidR="00653D23">
        <w:rPr>
          <w:rFonts w:ascii="Century Gothic" w:hAnsi="Century Gothic"/>
          <w:color w:val="1F497D" w:themeColor="text2"/>
          <w:sz w:val="24"/>
          <w:szCs w:val="24"/>
        </w:rPr>
        <w:t>SpA</w:t>
      </w:r>
      <w:proofErr w:type="spellEnd"/>
      <w:r w:rsidR="00653D23">
        <w:rPr>
          <w:rFonts w:ascii="Century Gothic" w:hAnsi="Century Gothic"/>
          <w:color w:val="1F497D" w:themeColor="text2"/>
          <w:sz w:val="24"/>
          <w:szCs w:val="24"/>
        </w:rPr>
        <w:t xml:space="preserve">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59E5FF32"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677BF96D"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verificare l’esistenza sul mercato di eventuali </w:t>
      </w:r>
      <w:r w:rsidR="00E3784D">
        <w:rPr>
          <w:rFonts w:ascii="Century Gothic" w:hAnsi="Century Gothic"/>
          <w:color w:val="1F497D" w:themeColor="text2"/>
          <w:sz w:val="24"/>
          <w:szCs w:val="24"/>
        </w:rPr>
        <w:t>soluzioni</w:t>
      </w:r>
      <w:r w:rsidRPr="00BB0AC2">
        <w:rPr>
          <w:rFonts w:ascii="Century Gothic" w:hAnsi="Century Gothic"/>
          <w:color w:val="1F497D" w:themeColor="text2"/>
          <w:sz w:val="24"/>
          <w:szCs w:val="24"/>
        </w:rPr>
        <w:t xml:space="preserve"> alternativ</w:t>
      </w:r>
      <w:r w:rsidR="00E3784D">
        <w:rPr>
          <w:rFonts w:ascii="Century Gothic" w:hAnsi="Century Gothic"/>
          <w:color w:val="1F497D" w:themeColor="text2"/>
          <w:sz w:val="24"/>
          <w:szCs w:val="24"/>
        </w:rPr>
        <w:t>e</w:t>
      </w:r>
      <w:r w:rsidRPr="00BB0AC2">
        <w:rPr>
          <w:rFonts w:ascii="Century Gothic" w:hAnsi="Century Gothic"/>
          <w:color w:val="1F497D" w:themeColor="text2"/>
          <w:sz w:val="24"/>
          <w:szCs w:val="24"/>
        </w:rPr>
        <w:t xml:space="preserve">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1A1CC9C1"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5D74ADF4"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6042565C"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6BF7F6C3" w14:textId="77777777"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22C293E6" w14:textId="77777777" w:rsidR="00FC3463" w:rsidRPr="00FC3463" w:rsidRDefault="00FC3463" w:rsidP="00FC3463">
      <w:pPr>
        <w:tabs>
          <w:tab w:val="left" w:pos="8789"/>
        </w:tabs>
        <w:ind w:left="567" w:right="565" w:firstLine="567"/>
        <w:jc w:val="both"/>
        <w:rPr>
          <w:rFonts w:ascii="Century Gothic" w:hAnsi="Century Gothic"/>
          <w:color w:val="1F497D" w:themeColor="text2"/>
          <w:sz w:val="24"/>
          <w:szCs w:val="24"/>
        </w:rPr>
      </w:pPr>
      <w:r w:rsidRPr="00FC3463">
        <w:rPr>
          <w:rFonts w:ascii="Century Gothic" w:hAnsi="Century Gothic"/>
          <w:color w:val="1F497D" w:themeColor="text2"/>
          <w:sz w:val="24"/>
          <w:szCs w:val="24"/>
        </w:rPr>
        <w:t xml:space="preserve">In seguito a procedura negoziata senza previa pubblicazione di un bando di gara, a giugno 2016 è stato stipulato </w:t>
      </w:r>
      <w:r w:rsidR="00E3784D">
        <w:rPr>
          <w:rFonts w:ascii="Century Gothic" w:hAnsi="Century Gothic"/>
          <w:color w:val="1F497D" w:themeColor="text2"/>
          <w:sz w:val="24"/>
          <w:szCs w:val="24"/>
        </w:rPr>
        <w:t>un</w:t>
      </w:r>
      <w:r w:rsidRPr="00FC3463">
        <w:rPr>
          <w:rFonts w:ascii="Century Gothic" w:hAnsi="Century Gothic"/>
          <w:color w:val="1F497D" w:themeColor="text2"/>
          <w:sz w:val="24"/>
          <w:szCs w:val="24"/>
        </w:rPr>
        <w:t xml:space="preserve"> contratto </w:t>
      </w:r>
      <w:r w:rsidR="00E3784D">
        <w:rPr>
          <w:rFonts w:ascii="Century Gothic" w:hAnsi="Century Gothic"/>
          <w:color w:val="1F497D" w:themeColor="text2"/>
          <w:sz w:val="24"/>
          <w:szCs w:val="24"/>
        </w:rPr>
        <w:t>(</w:t>
      </w:r>
      <w:r w:rsidRPr="00FC3463">
        <w:rPr>
          <w:rFonts w:ascii="Century Gothic" w:hAnsi="Century Gothic"/>
          <w:color w:val="1F497D" w:themeColor="text2"/>
          <w:sz w:val="24"/>
          <w:szCs w:val="24"/>
        </w:rPr>
        <w:t>CIG 6603244155</w:t>
      </w:r>
      <w:r w:rsidR="00E3784D">
        <w:rPr>
          <w:rFonts w:ascii="Century Gothic" w:hAnsi="Century Gothic"/>
          <w:color w:val="1F497D" w:themeColor="text2"/>
          <w:sz w:val="24"/>
          <w:szCs w:val="24"/>
        </w:rPr>
        <w:t>)</w:t>
      </w:r>
      <w:r w:rsidRPr="00FC3463">
        <w:rPr>
          <w:rFonts w:ascii="Century Gothic" w:hAnsi="Century Gothic"/>
          <w:color w:val="1F497D" w:themeColor="text2"/>
          <w:sz w:val="24"/>
          <w:szCs w:val="24"/>
        </w:rPr>
        <w:t xml:space="preserve"> avente ad oggetto “l’affidamento del mantenimento e della manutenzione delle licenze dei software del gruppo C costituenti il sistema unico della riscossione” ai sensi dell’art. 57 comma 2 lettera b) del Dlgs. 163/06. </w:t>
      </w:r>
    </w:p>
    <w:p w14:paraId="1DB0982D" w14:textId="77777777" w:rsidR="00FC3463" w:rsidRDefault="00FC3463" w:rsidP="00FC3463">
      <w:pPr>
        <w:tabs>
          <w:tab w:val="left" w:pos="8789"/>
        </w:tabs>
        <w:ind w:left="567" w:right="565" w:firstLine="567"/>
        <w:jc w:val="both"/>
        <w:rPr>
          <w:rFonts w:ascii="Century Gothic" w:hAnsi="Century Gothic"/>
          <w:color w:val="1F497D" w:themeColor="text2"/>
          <w:sz w:val="24"/>
          <w:szCs w:val="24"/>
        </w:rPr>
      </w:pPr>
      <w:r w:rsidRPr="00FC3463">
        <w:rPr>
          <w:rFonts w:ascii="Century Gothic" w:hAnsi="Century Gothic"/>
          <w:color w:val="1F497D" w:themeColor="text2"/>
          <w:sz w:val="24"/>
          <w:szCs w:val="24"/>
        </w:rPr>
        <w:t>Tale contratto scadrà il 31/12/2019 ed è pertanto necessario procedere al</w:t>
      </w:r>
      <w:r w:rsidR="00E3784D">
        <w:rPr>
          <w:rFonts w:ascii="Century Gothic" w:hAnsi="Century Gothic"/>
          <w:color w:val="1F497D" w:themeColor="text2"/>
          <w:sz w:val="24"/>
          <w:szCs w:val="24"/>
        </w:rPr>
        <w:t>la stipula di un nuovo contratto</w:t>
      </w:r>
      <w:r w:rsidRPr="00FC3463">
        <w:rPr>
          <w:rFonts w:ascii="Century Gothic" w:hAnsi="Century Gothic"/>
          <w:color w:val="1F497D" w:themeColor="text2"/>
          <w:sz w:val="24"/>
          <w:szCs w:val="24"/>
        </w:rPr>
        <w:t xml:space="preserve"> al fine di garantire la continuità operativa ed il costante aggiornamento e manutenzione dei prodotti </w:t>
      </w:r>
      <w:proofErr w:type="spellStart"/>
      <w:r w:rsidRPr="00FC3463">
        <w:rPr>
          <w:rFonts w:ascii="Century Gothic" w:hAnsi="Century Gothic"/>
          <w:color w:val="1F497D" w:themeColor="text2"/>
          <w:sz w:val="24"/>
          <w:szCs w:val="24"/>
        </w:rPr>
        <w:t>sw</w:t>
      </w:r>
      <w:proofErr w:type="spellEnd"/>
      <w:r w:rsidRPr="00FC3463">
        <w:rPr>
          <w:rFonts w:ascii="Century Gothic" w:hAnsi="Century Gothic"/>
          <w:color w:val="1F497D" w:themeColor="text2"/>
          <w:sz w:val="24"/>
          <w:szCs w:val="24"/>
        </w:rPr>
        <w:t>.</w:t>
      </w:r>
    </w:p>
    <w:p w14:paraId="1ACAC3FA" w14:textId="17EFEAB0" w:rsidR="00FC3463" w:rsidRDefault="00FC3463" w:rsidP="00FC3463">
      <w:pPr>
        <w:tabs>
          <w:tab w:val="left" w:pos="8789"/>
        </w:tabs>
        <w:ind w:left="567" w:right="565" w:firstLine="567"/>
        <w:jc w:val="both"/>
        <w:rPr>
          <w:rFonts w:ascii="Century Gothic" w:hAnsi="Century Gothic"/>
          <w:color w:val="1F497D" w:themeColor="text2"/>
          <w:sz w:val="24"/>
          <w:szCs w:val="24"/>
        </w:rPr>
      </w:pPr>
      <w:r w:rsidRPr="00FC3463">
        <w:rPr>
          <w:rFonts w:ascii="Century Gothic" w:hAnsi="Century Gothic"/>
          <w:color w:val="1F497D" w:themeColor="text2"/>
          <w:sz w:val="24"/>
          <w:szCs w:val="24"/>
        </w:rPr>
        <w:t>L’oggetto della</w:t>
      </w:r>
      <w:r w:rsidR="006F5A8B">
        <w:rPr>
          <w:rFonts w:ascii="Century Gothic" w:hAnsi="Century Gothic"/>
          <w:color w:val="1F497D" w:themeColor="text2"/>
          <w:sz w:val="24"/>
          <w:szCs w:val="24"/>
        </w:rPr>
        <w:t xml:space="preserve"> consultazione</w:t>
      </w:r>
      <w:r w:rsidRPr="00FC3463">
        <w:rPr>
          <w:rFonts w:ascii="Century Gothic" w:hAnsi="Century Gothic"/>
          <w:color w:val="1F497D" w:themeColor="text2"/>
          <w:sz w:val="24"/>
          <w:szCs w:val="24"/>
        </w:rPr>
        <w:t xml:space="preserve"> </w:t>
      </w:r>
      <w:r w:rsidR="004E65B1">
        <w:rPr>
          <w:rFonts w:ascii="Century Gothic" w:hAnsi="Century Gothic"/>
          <w:color w:val="1F497D" w:themeColor="text2"/>
          <w:sz w:val="24"/>
          <w:szCs w:val="24"/>
        </w:rPr>
        <w:t xml:space="preserve">è diretto </w:t>
      </w:r>
      <w:r w:rsidR="004E65B1" w:rsidRPr="00BB0AC2">
        <w:rPr>
          <w:rFonts w:ascii="Century Gothic" w:hAnsi="Century Gothic"/>
          <w:color w:val="1F497D" w:themeColor="text2"/>
          <w:sz w:val="24"/>
          <w:szCs w:val="24"/>
        </w:rPr>
        <w:t xml:space="preserve">conoscere se il servizio </w:t>
      </w:r>
      <w:r w:rsidR="004E65B1" w:rsidRPr="00E3784D">
        <w:rPr>
          <w:rFonts w:ascii="Century Gothic" w:hAnsi="Century Gothic"/>
          <w:color w:val="1F497D" w:themeColor="text2"/>
          <w:sz w:val="24"/>
          <w:szCs w:val="24"/>
        </w:rPr>
        <w:t xml:space="preserve">di manutenzione delle licenze </w:t>
      </w:r>
      <w:proofErr w:type="spellStart"/>
      <w:r w:rsidR="004E65B1" w:rsidRPr="00E3784D">
        <w:rPr>
          <w:rFonts w:ascii="Century Gothic" w:hAnsi="Century Gothic"/>
          <w:color w:val="1F497D" w:themeColor="text2"/>
          <w:sz w:val="24"/>
          <w:szCs w:val="24"/>
        </w:rPr>
        <w:t>sw</w:t>
      </w:r>
      <w:proofErr w:type="spellEnd"/>
      <w:r w:rsidR="004E65B1" w:rsidRPr="00E3784D">
        <w:rPr>
          <w:rFonts w:ascii="Century Gothic" w:hAnsi="Century Gothic"/>
          <w:color w:val="1F497D" w:themeColor="text2"/>
          <w:sz w:val="24"/>
          <w:szCs w:val="24"/>
        </w:rPr>
        <w:t xml:space="preserve"> dei prodotti CAD</w:t>
      </w:r>
      <w:r w:rsidR="00653D23">
        <w:rPr>
          <w:rFonts w:ascii="Century Gothic" w:hAnsi="Century Gothic"/>
          <w:color w:val="1F497D" w:themeColor="text2"/>
          <w:sz w:val="24"/>
          <w:szCs w:val="24"/>
        </w:rPr>
        <w:t xml:space="preserve"> </w:t>
      </w:r>
      <w:r w:rsidR="004E65B1" w:rsidRPr="00E3784D">
        <w:rPr>
          <w:rFonts w:ascii="Century Gothic" w:hAnsi="Century Gothic"/>
          <w:color w:val="1F497D" w:themeColor="text2"/>
          <w:sz w:val="24"/>
          <w:szCs w:val="24"/>
        </w:rPr>
        <w:t xml:space="preserve">IT </w:t>
      </w:r>
      <w:proofErr w:type="spellStart"/>
      <w:r w:rsidR="00653D23">
        <w:rPr>
          <w:rFonts w:ascii="Century Gothic" w:hAnsi="Century Gothic"/>
          <w:color w:val="1F497D" w:themeColor="text2"/>
          <w:sz w:val="24"/>
          <w:szCs w:val="24"/>
        </w:rPr>
        <w:t>SpA</w:t>
      </w:r>
      <w:proofErr w:type="spellEnd"/>
      <w:r w:rsidR="00653D23">
        <w:rPr>
          <w:rFonts w:ascii="Century Gothic" w:hAnsi="Century Gothic"/>
          <w:color w:val="1F497D" w:themeColor="text2"/>
          <w:sz w:val="24"/>
          <w:szCs w:val="24"/>
        </w:rPr>
        <w:t xml:space="preserve"> </w:t>
      </w:r>
      <w:r w:rsidR="004E65B1">
        <w:rPr>
          <w:rFonts w:ascii="Century Gothic" w:hAnsi="Century Gothic"/>
          <w:color w:val="1F497D" w:themeColor="text2"/>
          <w:sz w:val="24"/>
          <w:szCs w:val="24"/>
        </w:rPr>
        <w:t xml:space="preserve">attualmente in uso </w:t>
      </w:r>
      <w:r w:rsidR="004E65B1" w:rsidRPr="00BB0AC2">
        <w:rPr>
          <w:rFonts w:ascii="Century Gothic" w:hAnsi="Century Gothic"/>
          <w:color w:val="1F497D" w:themeColor="text2"/>
          <w:sz w:val="24"/>
          <w:szCs w:val="24"/>
        </w:rPr>
        <w:t>abbia un mercato di riferimento e le eventuali soluzioni tecniche disponibili, nonché le condizioni di prezzo mediamente praticate</w:t>
      </w:r>
      <w:r w:rsidR="004E65B1">
        <w:rPr>
          <w:rFonts w:ascii="Century Gothic" w:hAnsi="Century Gothic"/>
          <w:color w:val="1F497D" w:themeColor="text2"/>
          <w:sz w:val="24"/>
          <w:szCs w:val="24"/>
        </w:rPr>
        <w:t xml:space="preserve"> relative ai prodotti indicati nella seguente tabella</w:t>
      </w:r>
      <w:r w:rsidRPr="00FC3463">
        <w:rPr>
          <w:rFonts w:ascii="Century Gothic" w:hAnsi="Century Gothic"/>
          <w:color w:val="1F497D" w:themeColor="text2"/>
          <w:sz w:val="24"/>
          <w:szCs w:val="24"/>
        </w:rPr>
        <w:t>:</w:t>
      </w:r>
    </w:p>
    <w:tbl>
      <w:tblPr>
        <w:tblStyle w:val="Elencochiaro-Colore11"/>
        <w:tblW w:w="2462" w:type="dxa"/>
        <w:jc w:val="center"/>
        <w:tblLook w:val="04A0" w:firstRow="1" w:lastRow="0" w:firstColumn="1" w:lastColumn="0" w:noHBand="0" w:noVBand="1"/>
      </w:tblPr>
      <w:tblGrid>
        <w:gridCol w:w="2462"/>
      </w:tblGrid>
      <w:tr w:rsidR="00E3784D" w:rsidRPr="00E3784D" w14:paraId="27C00663" w14:textId="77777777" w:rsidTr="00E3784D">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462" w:type="dxa"/>
            <w:noWrap/>
            <w:vAlign w:val="center"/>
            <w:hideMark/>
          </w:tcPr>
          <w:p w14:paraId="6FCD0830" w14:textId="77777777" w:rsidR="00E3784D" w:rsidRPr="00E3784D" w:rsidRDefault="00E3784D" w:rsidP="00E3784D">
            <w:pPr>
              <w:jc w:val="center"/>
              <w:rPr>
                <w:b w:val="0"/>
                <w:bCs w:val="0"/>
                <w:color w:val="000000"/>
                <w:sz w:val="28"/>
              </w:rPr>
            </w:pPr>
            <w:r w:rsidRPr="00E3784D">
              <w:rPr>
                <w:color w:val="000000"/>
                <w:sz w:val="28"/>
              </w:rPr>
              <w:t>Prodotto</w:t>
            </w:r>
          </w:p>
        </w:tc>
      </w:tr>
      <w:tr w:rsidR="00E3784D" w:rsidRPr="00E3784D" w14:paraId="7F48347A" w14:textId="77777777" w:rsidTr="00E3784D">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2462" w:type="dxa"/>
            <w:noWrap/>
            <w:vAlign w:val="center"/>
            <w:hideMark/>
          </w:tcPr>
          <w:p w14:paraId="0CC1BBA4" w14:textId="77777777" w:rsidR="00E3784D" w:rsidRPr="00E3784D" w:rsidRDefault="00E3784D" w:rsidP="00E3784D">
            <w:pPr>
              <w:jc w:val="center"/>
              <w:rPr>
                <w:b w:val="0"/>
                <w:bCs w:val="0"/>
                <w:color w:val="000000"/>
                <w:sz w:val="28"/>
              </w:rPr>
            </w:pPr>
            <w:r w:rsidRPr="00E3784D">
              <w:rPr>
                <w:b w:val="0"/>
                <w:color w:val="000000"/>
                <w:sz w:val="28"/>
              </w:rPr>
              <w:t>Kernel</w:t>
            </w:r>
          </w:p>
        </w:tc>
      </w:tr>
      <w:tr w:rsidR="00E3784D" w:rsidRPr="00E3784D" w14:paraId="241AA43D" w14:textId="77777777" w:rsidTr="00E3784D">
        <w:trPr>
          <w:trHeight w:val="221"/>
          <w:jc w:val="center"/>
        </w:trPr>
        <w:tc>
          <w:tcPr>
            <w:cnfStyle w:val="001000000000" w:firstRow="0" w:lastRow="0" w:firstColumn="1" w:lastColumn="0" w:oddVBand="0" w:evenVBand="0" w:oddHBand="0" w:evenHBand="0" w:firstRowFirstColumn="0" w:firstRowLastColumn="0" w:lastRowFirstColumn="0" w:lastRowLastColumn="0"/>
            <w:tcW w:w="2462" w:type="dxa"/>
            <w:noWrap/>
            <w:vAlign w:val="center"/>
            <w:hideMark/>
          </w:tcPr>
          <w:p w14:paraId="10122B7A" w14:textId="77777777" w:rsidR="00E3784D" w:rsidRPr="00E3784D" w:rsidRDefault="00E3784D" w:rsidP="00E3784D">
            <w:pPr>
              <w:jc w:val="center"/>
              <w:rPr>
                <w:b w:val="0"/>
                <w:bCs w:val="0"/>
                <w:color w:val="000000"/>
                <w:sz w:val="28"/>
              </w:rPr>
            </w:pPr>
            <w:r w:rsidRPr="00E3784D">
              <w:rPr>
                <w:b w:val="0"/>
                <w:color w:val="000000"/>
                <w:sz w:val="28"/>
              </w:rPr>
              <w:t>Antiriciclaggio</w:t>
            </w:r>
          </w:p>
        </w:tc>
      </w:tr>
      <w:tr w:rsidR="00E3784D" w:rsidRPr="00E3784D" w14:paraId="13DCD146" w14:textId="77777777" w:rsidTr="00E3784D">
        <w:trPr>
          <w:cnfStyle w:val="000000100000" w:firstRow="0" w:lastRow="0" w:firstColumn="0" w:lastColumn="0" w:oddVBand="0" w:evenVBand="0" w:oddHBand="1" w:evenHBand="0" w:firstRowFirstColumn="0" w:firstRowLastColumn="0" w:lastRowFirstColumn="0" w:lastRowLastColumn="0"/>
          <w:trHeight w:val="221"/>
          <w:jc w:val="center"/>
        </w:trPr>
        <w:tc>
          <w:tcPr>
            <w:cnfStyle w:val="001000000000" w:firstRow="0" w:lastRow="0" w:firstColumn="1" w:lastColumn="0" w:oddVBand="0" w:evenVBand="0" w:oddHBand="0" w:evenHBand="0" w:firstRowFirstColumn="0" w:firstRowLastColumn="0" w:lastRowFirstColumn="0" w:lastRowLastColumn="0"/>
            <w:tcW w:w="2462" w:type="dxa"/>
            <w:noWrap/>
            <w:vAlign w:val="center"/>
          </w:tcPr>
          <w:p w14:paraId="2D1B857D" w14:textId="77777777" w:rsidR="00E3784D" w:rsidRPr="00E3784D" w:rsidRDefault="00E3784D" w:rsidP="00E3784D">
            <w:pPr>
              <w:jc w:val="center"/>
              <w:rPr>
                <w:b w:val="0"/>
                <w:bCs w:val="0"/>
                <w:color w:val="000000"/>
                <w:sz w:val="28"/>
              </w:rPr>
            </w:pPr>
            <w:r w:rsidRPr="00E3784D">
              <w:rPr>
                <w:b w:val="0"/>
                <w:color w:val="000000"/>
                <w:sz w:val="28"/>
              </w:rPr>
              <w:t>City Workbench</w:t>
            </w:r>
          </w:p>
        </w:tc>
      </w:tr>
    </w:tbl>
    <w:p w14:paraId="19551B23" w14:textId="77777777" w:rsidR="006F5A8B" w:rsidRDefault="006F5A8B" w:rsidP="00FC3463">
      <w:pPr>
        <w:tabs>
          <w:tab w:val="left" w:pos="8789"/>
        </w:tabs>
        <w:ind w:left="567" w:right="565" w:firstLine="567"/>
        <w:jc w:val="both"/>
        <w:rPr>
          <w:rFonts w:ascii="Century Gothic" w:hAnsi="Century Gothic"/>
          <w:color w:val="1F497D" w:themeColor="text2"/>
          <w:sz w:val="24"/>
          <w:szCs w:val="24"/>
        </w:rPr>
      </w:pPr>
    </w:p>
    <w:p w14:paraId="70FEC3BC" w14:textId="37D43D5A" w:rsidR="006F5A8B" w:rsidRDefault="00F65F6A" w:rsidP="00FC346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Di seguito</w:t>
      </w:r>
      <w:r w:rsidR="006F5A8B" w:rsidRPr="006F5A8B">
        <w:rPr>
          <w:rFonts w:ascii="Century Gothic" w:hAnsi="Century Gothic"/>
          <w:color w:val="1F497D" w:themeColor="text2"/>
          <w:sz w:val="24"/>
          <w:szCs w:val="24"/>
        </w:rPr>
        <w:t xml:space="preserve"> sono riepilogate le attività oggetto di </w:t>
      </w:r>
      <w:r w:rsidR="00E3784D">
        <w:rPr>
          <w:rFonts w:ascii="Century Gothic" w:hAnsi="Century Gothic"/>
          <w:color w:val="1F497D" w:themeColor="text2"/>
          <w:sz w:val="24"/>
          <w:szCs w:val="24"/>
        </w:rPr>
        <w:t>interesse</w:t>
      </w:r>
      <w:r>
        <w:rPr>
          <w:rFonts w:ascii="Century Gothic" w:hAnsi="Century Gothic"/>
          <w:color w:val="1F497D" w:themeColor="text2"/>
          <w:sz w:val="24"/>
          <w:szCs w:val="24"/>
        </w:rPr>
        <w:t xml:space="preserve"> da parte dell’Agenzia</w:t>
      </w:r>
      <w:r w:rsidR="006F5A8B">
        <w:rPr>
          <w:rFonts w:ascii="Century Gothic" w:hAnsi="Century Gothic"/>
          <w:color w:val="1F497D" w:themeColor="text2"/>
          <w:sz w:val="24"/>
          <w:szCs w:val="24"/>
        </w:rPr>
        <w:t>:</w:t>
      </w:r>
    </w:p>
    <w:p w14:paraId="2E1E6D30" w14:textId="50A84169" w:rsidR="006F5A8B" w:rsidRDefault="006F5A8B" w:rsidP="00F65F6A">
      <w:pPr>
        <w:pStyle w:val="Paragrafoelenco"/>
        <w:numPr>
          <w:ilvl w:val="0"/>
          <w:numId w:val="9"/>
        </w:numPr>
        <w:tabs>
          <w:tab w:val="left" w:pos="8789"/>
        </w:tabs>
        <w:ind w:right="565"/>
        <w:jc w:val="both"/>
        <w:rPr>
          <w:rFonts w:ascii="Century Gothic" w:hAnsi="Century Gothic"/>
          <w:color w:val="1F497D" w:themeColor="text2"/>
          <w:sz w:val="24"/>
          <w:szCs w:val="24"/>
        </w:rPr>
      </w:pPr>
      <w:r w:rsidRPr="006F5A8B">
        <w:rPr>
          <w:rFonts w:ascii="Century Gothic" w:hAnsi="Century Gothic"/>
          <w:color w:val="1F497D" w:themeColor="text2"/>
          <w:sz w:val="24"/>
          <w:szCs w:val="24"/>
        </w:rPr>
        <w:t>Attività di Manutenzione Correttiva (MAC)</w:t>
      </w:r>
      <w:r>
        <w:rPr>
          <w:rFonts w:ascii="Century Gothic" w:hAnsi="Century Gothic"/>
          <w:color w:val="1F497D" w:themeColor="text2"/>
          <w:sz w:val="24"/>
          <w:szCs w:val="24"/>
        </w:rPr>
        <w:br/>
      </w:r>
      <w:r w:rsidRPr="006F5A8B">
        <w:rPr>
          <w:rFonts w:ascii="Century Gothic" w:hAnsi="Century Gothic"/>
          <w:color w:val="1F497D" w:themeColor="text2"/>
          <w:sz w:val="24"/>
          <w:szCs w:val="24"/>
        </w:rPr>
        <w:t>Ripristino di malfunzionamenti dovuti ad errori od incongruenze software.</w:t>
      </w:r>
      <w:r>
        <w:rPr>
          <w:rFonts w:ascii="Century Gothic" w:hAnsi="Century Gothic"/>
          <w:color w:val="1F497D" w:themeColor="text2"/>
          <w:sz w:val="24"/>
          <w:szCs w:val="24"/>
        </w:rPr>
        <w:br/>
      </w:r>
    </w:p>
    <w:p w14:paraId="604F8BEC" w14:textId="3F8E0AEA" w:rsidR="006F5A8B" w:rsidRDefault="006F5A8B" w:rsidP="00E3784D">
      <w:pPr>
        <w:pStyle w:val="Paragrafoelenco"/>
        <w:numPr>
          <w:ilvl w:val="0"/>
          <w:numId w:val="9"/>
        </w:numPr>
        <w:tabs>
          <w:tab w:val="left" w:pos="8789"/>
        </w:tabs>
        <w:ind w:right="565"/>
        <w:jc w:val="both"/>
        <w:rPr>
          <w:rFonts w:ascii="Century Gothic" w:hAnsi="Century Gothic"/>
          <w:color w:val="1F497D" w:themeColor="text2"/>
          <w:sz w:val="24"/>
          <w:szCs w:val="24"/>
        </w:rPr>
      </w:pPr>
      <w:r w:rsidRPr="006F5A8B">
        <w:rPr>
          <w:rFonts w:ascii="Century Gothic" w:hAnsi="Century Gothic"/>
          <w:color w:val="1F497D" w:themeColor="text2"/>
          <w:sz w:val="24"/>
          <w:szCs w:val="24"/>
        </w:rPr>
        <w:t xml:space="preserve">Attività di Manutenzione </w:t>
      </w:r>
      <w:proofErr w:type="spellStart"/>
      <w:r w:rsidRPr="006F5A8B">
        <w:rPr>
          <w:rFonts w:ascii="Century Gothic" w:hAnsi="Century Gothic"/>
          <w:color w:val="1F497D" w:themeColor="text2"/>
          <w:sz w:val="24"/>
          <w:szCs w:val="24"/>
        </w:rPr>
        <w:t>Adeguativa</w:t>
      </w:r>
      <w:proofErr w:type="spellEnd"/>
      <w:r w:rsidRPr="006F5A8B">
        <w:rPr>
          <w:rFonts w:ascii="Century Gothic" w:hAnsi="Century Gothic"/>
          <w:color w:val="1F497D" w:themeColor="text2"/>
          <w:sz w:val="24"/>
          <w:szCs w:val="24"/>
        </w:rPr>
        <w:t xml:space="preserve"> (MAA)</w:t>
      </w:r>
      <w:r>
        <w:rPr>
          <w:rFonts w:ascii="Century Gothic" w:hAnsi="Century Gothic"/>
          <w:color w:val="1F497D" w:themeColor="text2"/>
          <w:sz w:val="24"/>
          <w:szCs w:val="24"/>
        </w:rPr>
        <w:br/>
      </w:r>
      <w:r w:rsidRPr="006F5A8B">
        <w:rPr>
          <w:rFonts w:ascii="Century Gothic" w:hAnsi="Century Gothic"/>
          <w:color w:val="1F497D" w:themeColor="text2"/>
          <w:sz w:val="24"/>
          <w:szCs w:val="24"/>
        </w:rPr>
        <w:t xml:space="preserve">Si tratta </w:t>
      </w:r>
      <w:proofErr w:type="gramStart"/>
      <w:r w:rsidRPr="006F5A8B">
        <w:rPr>
          <w:rFonts w:ascii="Century Gothic" w:hAnsi="Century Gothic"/>
          <w:color w:val="1F497D" w:themeColor="text2"/>
          <w:sz w:val="24"/>
          <w:szCs w:val="24"/>
        </w:rPr>
        <w:t>dei</w:t>
      </w:r>
      <w:proofErr w:type="gramEnd"/>
      <w:r w:rsidRPr="006F5A8B">
        <w:rPr>
          <w:rFonts w:ascii="Century Gothic" w:hAnsi="Century Gothic"/>
          <w:color w:val="1F497D" w:themeColor="text2"/>
          <w:sz w:val="24"/>
          <w:szCs w:val="24"/>
        </w:rPr>
        <w:t xml:space="preserve"> interventi di modesta entità, relativi a piccole implementazioni del software, a seguito di nuove disposizioni di legge, o ad interventi per il miglioramento delle prestazioni.</w:t>
      </w:r>
      <w:r>
        <w:rPr>
          <w:rFonts w:ascii="Century Gothic" w:hAnsi="Century Gothic"/>
          <w:color w:val="1F497D" w:themeColor="text2"/>
          <w:sz w:val="24"/>
          <w:szCs w:val="24"/>
        </w:rPr>
        <w:br/>
      </w:r>
    </w:p>
    <w:p w14:paraId="66B7D37E" w14:textId="2335409D" w:rsidR="006F5A8B" w:rsidRDefault="006F5A8B" w:rsidP="00E3784D">
      <w:pPr>
        <w:pStyle w:val="Paragrafoelenco"/>
        <w:numPr>
          <w:ilvl w:val="0"/>
          <w:numId w:val="9"/>
        </w:numPr>
        <w:tabs>
          <w:tab w:val="left" w:pos="8789"/>
        </w:tabs>
        <w:ind w:right="565"/>
        <w:jc w:val="both"/>
        <w:rPr>
          <w:rFonts w:ascii="Century Gothic" w:hAnsi="Century Gothic"/>
          <w:color w:val="1F497D" w:themeColor="text2"/>
          <w:sz w:val="24"/>
          <w:szCs w:val="24"/>
        </w:rPr>
      </w:pPr>
      <w:r w:rsidRPr="006F5A8B">
        <w:rPr>
          <w:rFonts w:ascii="Century Gothic" w:hAnsi="Century Gothic"/>
          <w:color w:val="1F497D" w:themeColor="text2"/>
          <w:sz w:val="24"/>
          <w:szCs w:val="24"/>
        </w:rPr>
        <w:t xml:space="preserve">Aggiornamento </w:t>
      </w:r>
      <w:r w:rsidR="00F65F6A">
        <w:rPr>
          <w:rFonts w:ascii="Century Gothic" w:hAnsi="Century Gothic"/>
          <w:color w:val="1F497D" w:themeColor="text2"/>
          <w:sz w:val="24"/>
          <w:szCs w:val="24"/>
        </w:rPr>
        <w:t>alle</w:t>
      </w:r>
      <w:r w:rsidRPr="006F5A8B">
        <w:rPr>
          <w:rFonts w:ascii="Century Gothic" w:hAnsi="Century Gothic"/>
          <w:color w:val="1F497D" w:themeColor="text2"/>
          <w:sz w:val="24"/>
          <w:szCs w:val="24"/>
        </w:rPr>
        <w:t xml:space="preserve"> nuove versioni dei </w:t>
      </w:r>
      <w:proofErr w:type="spellStart"/>
      <w:r w:rsidRPr="006F5A8B">
        <w:rPr>
          <w:rFonts w:ascii="Century Gothic" w:hAnsi="Century Gothic"/>
          <w:color w:val="1F497D" w:themeColor="text2"/>
          <w:sz w:val="24"/>
          <w:szCs w:val="24"/>
        </w:rPr>
        <w:t>sw</w:t>
      </w:r>
      <w:proofErr w:type="spellEnd"/>
      <w:r w:rsidRPr="006F5A8B">
        <w:rPr>
          <w:rFonts w:ascii="Century Gothic" w:hAnsi="Century Gothic"/>
          <w:color w:val="1F497D" w:themeColor="text2"/>
          <w:sz w:val="24"/>
          <w:szCs w:val="24"/>
        </w:rPr>
        <w:t xml:space="preserve"> City Workbench e del Kernel in caso di major release </w:t>
      </w:r>
      <w:r w:rsidR="00F65F6A">
        <w:rPr>
          <w:rFonts w:ascii="Century Gothic" w:hAnsi="Century Gothic"/>
          <w:color w:val="1F497D" w:themeColor="text2"/>
          <w:sz w:val="24"/>
          <w:szCs w:val="24"/>
        </w:rPr>
        <w:t>rilasciate dal produttore</w:t>
      </w:r>
    </w:p>
    <w:p w14:paraId="35398528" w14:textId="77777777" w:rsidR="007771EB" w:rsidRDefault="007771EB" w:rsidP="00DA2AF8">
      <w:pPr>
        <w:tabs>
          <w:tab w:val="left" w:pos="8789"/>
        </w:tabs>
        <w:ind w:left="567" w:right="565" w:firstLine="567"/>
        <w:jc w:val="both"/>
        <w:rPr>
          <w:rFonts w:ascii="Century Gothic" w:hAnsi="Century Gothic"/>
          <w:color w:val="1F497D" w:themeColor="text2"/>
          <w:sz w:val="24"/>
          <w:szCs w:val="24"/>
        </w:rPr>
      </w:pPr>
    </w:p>
    <w:p w14:paraId="36A092BD" w14:textId="1ADF4496" w:rsidR="007B5340" w:rsidRDefault="007771EB" w:rsidP="00DA2AF8">
      <w:pPr>
        <w:tabs>
          <w:tab w:val="left" w:pos="8789"/>
        </w:tabs>
        <w:ind w:left="567" w:right="565" w:firstLine="567"/>
        <w:jc w:val="both"/>
        <w:rPr>
          <w:rFonts w:ascii="Century Gothic" w:hAnsi="Century Gothic"/>
          <w:color w:val="1F497D" w:themeColor="text2"/>
          <w:sz w:val="24"/>
          <w:szCs w:val="24"/>
        </w:rPr>
      </w:pPr>
      <w:r w:rsidRPr="00374A97">
        <w:rPr>
          <w:rFonts w:ascii="Century Gothic" w:hAnsi="Century Gothic"/>
          <w:color w:val="1F497D" w:themeColor="text2"/>
          <w:sz w:val="24"/>
          <w:szCs w:val="24"/>
        </w:rPr>
        <w:t xml:space="preserve">Si stima che </w:t>
      </w:r>
      <w:r w:rsidR="00F65F6A">
        <w:rPr>
          <w:rFonts w:ascii="Century Gothic" w:hAnsi="Century Gothic"/>
          <w:color w:val="1F497D" w:themeColor="text2"/>
          <w:sz w:val="24"/>
          <w:szCs w:val="24"/>
        </w:rPr>
        <w:t>l’</w:t>
      </w:r>
      <w:r w:rsidR="007B5340">
        <w:rPr>
          <w:rFonts w:ascii="Century Gothic" w:hAnsi="Century Gothic"/>
          <w:color w:val="1F497D" w:themeColor="text2"/>
          <w:sz w:val="24"/>
          <w:szCs w:val="24"/>
        </w:rPr>
        <w:t xml:space="preserve">impegno </w:t>
      </w:r>
      <w:r w:rsidR="007B5340" w:rsidRPr="003726B2">
        <w:rPr>
          <w:rFonts w:ascii="Century Gothic" w:hAnsi="Century Gothic"/>
          <w:color w:val="1F497D" w:themeColor="text2"/>
          <w:sz w:val="24"/>
          <w:szCs w:val="24"/>
        </w:rPr>
        <w:t xml:space="preserve">massimo </w:t>
      </w:r>
      <w:r w:rsidR="007B5340">
        <w:rPr>
          <w:rFonts w:ascii="Century Gothic" w:hAnsi="Century Gothic"/>
          <w:color w:val="1F497D" w:themeColor="text2"/>
          <w:sz w:val="24"/>
          <w:szCs w:val="24"/>
        </w:rPr>
        <w:t xml:space="preserve">di spesa </w:t>
      </w:r>
      <w:r w:rsidR="007B5340">
        <w:rPr>
          <w:rFonts w:ascii="Century Gothic" w:hAnsi="Century Gothic" w:cs="Courier New"/>
          <w:color w:val="1F497D" w:themeColor="text2"/>
          <w:sz w:val="24"/>
          <w:szCs w:val="24"/>
        </w:rPr>
        <w:t>per un triennio (</w:t>
      </w:r>
      <w:r w:rsidR="007B5340">
        <w:rPr>
          <w:rFonts w:ascii="Century Gothic" w:hAnsi="Century Gothic"/>
          <w:color w:val="1F497D" w:themeColor="text2"/>
          <w:sz w:val="24"/>
          <w:szCs w:val="24"/>
        </w:rPr>
        <w:t xml:space="preserve">36 mesi) pari a </w:t>
      </w:r>
      <w:r w:rsidR="007B5340" w:rsidRPr="00374A97">
        <w:rPr>
          <w:rFonts w:ascii="Century Gothic" w:hAnsi="Century Gothic"/>
          <w:color w:val="1F497D" w:themeColor="text2"/>
          <w:sz w:val="24"/>
          <w:szCs w:val="24"/>
        </w:rPr>
        <w:t>€</w:t>
      </w:r>
      <w:r w:rsidR="007B5340">
        <w:rPr>
          <w:rFonts w:ascii="Century Gothic" w:hAnsi="Century Gothic"/>
          <w:color w:val="1F497D" w:themeColor="text2"/>
          <w:sz w:val="24"/>
          <w:szCs w:val="24"/>
        </w:rPr>
        <w:t xml:space="preserve"> </w:t>
      </w:r>
      <w:r w:rsidR="007B5340" w:rsidRPr="007B5340">
        <w:rPr>
          <w:rFonts w:ascii="Century Gothic" w:hAnsi="Century Gothic"/>
          <w:color w:val="1F497D" w:themeColor="text2"/>
          <w:sz w:val="24"/>
          <w:szCs w:val="24"/>
        </w:rPr>
        <w:t>2.850.000,00</w:t>
      </w:r>
      <w:r w:rsidR="007B5340">
        <w:rPr>
          <w:rFonts w:ascii="Century Gothic" w:hAnsi="Century Gothic"/>
          <w:color w:val="1F497D" w:themeColor="text2"/>
          <w:sz w:val="24"/>
          <w:szCs w:val="24"/>
        </w:rPr>
        <w:t xml:space="preserve">, </w:t>
      </w:r>
      <w:r w:rsidR="007B5340" w:rsidRPr="00374A97">
        <w:rPr>
          <w:rFonts w:ascii="Century Gothic" w:hAnsi="Century Gothic" w:cs="Courier New"/>
          <w:color w:val="1F497D" w:themeColor="text2"/>
          <w:sz w:val="24"/>
          <w:szCs w:val="24"/>
        </w:rPr>
        <w:t>IVA esclusa</w:t>
      </w:r>
      <w:r w:rsidR="007B5340">
        <w:rPr>
          <w:rFonts w:ascii="Century Gothic" w:hAnsi="Century Gothic"/>
          <w:color w:val="1F497D" w:themeColor="text2"/>
          <w:sz w:val="24"/>
          <w:szCs w:val="24"/>
        </w:rPr>
        <w:t>.</w:t>
      </w:r>
      <w:r w:rsidR="00F65F6A">
        <w:rPr>
          <w:rFonts w:ascii="Century Gothic" w:hAnsi="Century Gothic"/>
          <w:color w:val="1F497D" w:themeColor="text2"/>
          <w:sz w:val="24"/>
          <w:szCs w:val="24"/>
        </w:rPr>
        <w:t xml:space="preserve"> </w:t>
      </w:r>
      <w:r w:rsidR="007B5340" w:rsidRPr="007771EB">
        <w:rPr>
          <w:rFonts w:ascii="Century Gothic" w:hAnsi="Century Gothic"/>
          <w:color w:val="1F497D" w:themeColor="text2"/>
          <w:sz w:val="24"/>
          <w:szCs w:val="24"/>
        </w:rPr>
        <w:t>All’esito della consultazione l’Agenzia valuterà la fattibilità e la convenienza d</w:t>
      </w:r>
      <w:r w:rsidR="007B5340">
        <w:rPr>
          <w:rFonts w:ascii="Century Gothic" w:hAnsi="Century Gothic"/>
          <w:color w:val="1F497D" w:themeColor="text2"/>
          <w:sz w:val="24"/>
          <w:szCs w:val="24"/>
        </w:rPr>
        <w:t xml:space="preserve">i una </w:t>
      </w:r>
      <w:r w:rsidR="007B5340" w:rsidRPr="007771EB">
        <w:rPr>
          <w:rFonts w:ascii="Century Gothic" w:hAnsi="Century Gothic"/>
          <w:color w:val="1F497D" w:themeColor="text2"/>
          <w:sz w:val="24"/>
          <w:szCs w:val="24"/>
        </w:rPr>
        <w:t>eventuale soluzione presente sul mercato che abbia caratteristiche analoghe.</w:t>
      </w:r>
    </w:p>
    <w:p w14:paraId="492A3E4B" w14:textId="77777777" w:rsidR="007B5340" w:rsidRDefault="007B5340">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74A490B8" w14:textId="77777777" w:rsidR="00FC3463" w:rsidRDefault="00FC3463" w:rsidP="00DA2AF8">
      <w:pPr>
        <w:tabs>
          <w:tab w:val="left" w:pos="8789"/>
        </w:tabs>
        <w:ind w:left="567" w:right="565" w:firstLine="567"/>
        <w:jc w:val="both"/>
        <w:rPr>
          <w:rFonts w:ascii="Century Gothic" w:hAnsi="Century Gothic"/>
          <w:color w:val="1F497D" w:themeColor="text2"/>
          <w:sz w:val="24"/>
          <w:szCs w:val="24"/>
        </w:rPr>
      </w:pPr>
    </w:p>
    <w:p w14:paraId="6850DC00" w14:textId="77777777" w:rsidR="006F5A8B" w:rsidRPr="006F5A8B" w:rsidRDefault="006F5A8B" w:rsidP="006F5A8B">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6F5A8B">
        <w:rPr>
          <w:rFonts w:ascii="Century Gothic" w:hAnsi="Century Gothic" w:cs="Courier New"/>
          <w:b/>
          <w:bCs/>
          <w:i/>
          <w:color w:val="1F497D" w:themeColor="text2"/>
          <w:sz w:val="24"/>
          <w:szCs w:val="24"/>
        </w:rPr>
        <w:t xml:space="preserve">I prodotti </w:t>
      </w:r>
      <w:r w:rsidR="007B5340">
        <w:rPr>
          <w:rFonts w:ascii="Century Gothic" w:hAnsi="Century Gothic" w:cs="Courier New"/>
          <w:b/>
          <w:bCs/>
          <w:i/>
          <w:color w:val="1F497D" w:themeColor="text2"/>
          <w:sz w:val="24"/>
          <w:szCs w:val="24"/>
        </w:rPr>
        <w:t xml:space="preserve">oggetto </w:t>
      </w:r>
      <w:r w:rsidR="00F65F6A">
        <w:rPr>
          <w:rFonts w:ascii="Century Gothic" w:hAnsi="Century Gothic" w:cs="Courier New"/>
          <w:b/>
          <w:bCs/>
          <w:i/>
          <w:color w:val="1F497D" w:themeColor="text2"/>
          <w:sz w:val="24"/>
          <w:szCs w:val="24"/>
        </w:rPr>
        <w:t xml:space="preserve">dei servizi </w:t>
      </w:r>
      <w:r w:rsidR="007B5340">
        <w:rPr>
          <w:rFonts w:ascii="Century Gothic" w:hAnsi="Century Gothic" w:cs="Courier New"/>
          <w:b/>
          <w:bCs/>
          <w:i/>
          <w:color w:val="1F497D" w:themeColor="text2"/>
          <w:sz w:val="24"/>
          <w:szCs w:val="24"/>
        </w:rPr>
        <w:t>di interesse</w:t>
      </w:r>
    </w:p>
    <w:p w14:paraId="0114E144" w14:textId="6D817872" w:rsidR="00FC3463" w:rsidRDefault="006F5A8B"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Nei seguenti paragrafi vengono brevemente descritti </w:t>
      </w:r>
      <w:r w:rsidR="004E65B1">
        <w:rPr>
          <w:rFonts w:ascii="Century Gothic" w:hAnsi="Century Gothic"/>
          <w:color w:val="1F497D" w:themeColor="text2"/>
          <w:sz w:val="24"/>
          <w:szCs w:val="24"/>
        </w:rPr>
        <w:t xml:space="preserve">le licenze d’uso relative a </w:t>
      </w:r>
      <w:proofErr w:type="spellStart"/>
      <w:r w:rsidR="004E65B1">
        <w:rPr>
          <w:rFonts w:ascii="Century Gothic" w:hAnsi="Century Gothic"/>
          <w:color w:val="1F497D" w:themeColor="text2"/>
          <w:sz w:val="24"/>
          <w:szCs w:val="24"/>
        </w:rPr>
        <w:t>proditti</w:t>
      </w:r>
      <w:proofErr w:type="spellEnd"/>
      <w:r w:rsidR="004E65B1">
        <w:rPr>
          <w:rFonts w:ascii="Century Gothic" w:hAnsi="Century Gothic"/>
          <w:color w:val="1F497D" w:themeColor="text2"/>
          <w:sz w:val="24"/>
          <w:szCs w:val="24"/>
        </w:rPr>
        <w:t xml:space="preserve"> di CAD</w:t>
      </w:r>
      <w:r w:rsidR="00653D23">
        <w:rPr>
          <w:rFonts w:ascii="Century Gothic" w:hAnsi="Century Gothic"/>
          <w:color w:val="1F497D" w:themeColor="text2"/>
          <w:sz w:val="24"/>
          <w:szCs w:val="24"/>
        </w:rPr>
        <w:t xml:space="preserve"> IT </w:t>
      </w:r>
      <w:proofErr w:type="spellStart"/>
      <w:proofErr w:type="gramStart"/>
      <w:r w:rsidR="00653D23">
        <w:rPr>
          <w:rFonts w:ascii="Century Gothic" w:hAnsi="Century Gothic"/>
          <w:color w:val="1F497D" w:themeColor="text2"/>
          <w:sz w:val="24"/>
          <w:szCs w:val="24"/>
        </w:rPr>
        <w:t>SpA</w:t>
      </w:r>
      <w:proofErr w:type="spellEnd"/>
      <w:r w:rsidR="004E65B1">
        <w:rPr>
          <w:rFonts w:ascii="Century Gothic" w:hAnsi="Century Gothic"/>
          <w:color w:val="1F497D" w:themeColor="text2"/>
          <w:sz w:val="24"/>
          <w:szCs w:val="24"/>
        </w:rPr>
        <w:t xml:space="preserve">  impiegati</w:t>
      </w:r>
      <w:proofErr w:type="gramEnd"/>
      <w:r>
        <w:rPr>
          <w:rFonts w:ascii="Century Gothic" w:hAnsi="Century Gothic"/>
          <w:color w:val="1F497D" w:themeColor="text2"/>
          <w:sz w:val="24"/>
          <w:szCs w:val="24"/>
        </w:rPr>
        <w:t xml:space="preserve"> in </w:t>
      </w:r>
      <w:proofErr w:type="spellStart"/>
      <w:r>
        <w:rPr>
          <w:rFonts w:ascii="Century Gothic" w:hAnsi="Century Gothic"/>
          <w:color w:val="1F497D" w:themeColor="text2"/>
          <w:sz w:val="24"/>
          <w:szCs w:val="24"/>
        </w:rPr>
        <w:t>AdeR</w:t>
      </w:r>
      <w:proofErr w:type="spellEnd"/>
      <w:r>
        <w:rPr>
          <w:rFonts w:ascii="Century Gothic" w:hAnsi="Century Gothic"/>
          <w:color w:val="1F497D" w:themeColor="text2"/>
          <w:sz w:val="24"/>
          <w:szCs w:val="24"/>
        </w:rPr>
        <w:t>.</w:t>
      </w:r>
    </w:p>
    <w:p w14:paraId="1912AB72" w14:textId="77777777" w:rsidR="006F5A8B" w:rsidRPr="006F5A8B" w:rsidRDefault="006F5A8B" w:rsidP="00DA2AF8">
      <w:pPr>
        <w:tabs>
          <w:tab w:val="left" w:pos="8789"/>
        </w:tabs>
        <w:ind w:left="567" w:right="565" w:firstLine="567"/>
        <w:jc w:val="both"/>
        <w:rPr>
          <w:rFonts w:ascii="Century Gothic" w:hAnsi="Century Gothic"/>
          <w:b/>
          <w:i/>
          <w:color w:val="1F497D" w:themeColor="text2"/>
          <w:sz w:val="24"/>
          <w:szCs w:val="24"/>
        </w:rPr>
      </w:pPr>
      <w:r w:rsidRPr="006F5A8B">
        <w:rPr>
          <w:rFonts w:ascii="Century Gothic" w:hAnsi="Century Gothic"/>
          <w:b/>
          <w:i/>
          <w:color w:val="1F497D" w:themeColor="text2"/>
          <w:sz w:val="24"/>
          <w:szCs w:val="24"/>
        </w:rPr>
        <w:t>Kernel</w:t>
      </w:r>
    </w:p>
    <w:p w14:paraId="7C4801AA" w14:textId="1AF6998A" w:rsidR="002C2423" w:rsidRPr="002C2423"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 xml:space="preserve">Il kernel, attualmente in uso presso </w:t>
      </w:r>
      <w:proofErr w:type="spellStart"/>
      <w:r w:rsidRPr="002C2423">
        <w:rPr>
          <w:rFonts w:ascii="Century Gothic" w:hAnsi="Century Gothic"/>
          <w:color w:val="1F497D" w:themeColor="text2"/>
          <w:sz w:val="24"/>
          <w:szCs w:val="24"/>
        </w:rPr>
        <w:t>AdeR</w:t>
      </w:r>
      <w:proofErr w:type="spellEnd"/>
      <w:r w:rsidRPr="002C2423">
        <w:rPr>
          <w:rFonts w:ascii="Century Gothic" w:hAnsi="Century Gothic"/>
          <w:color w:val="1F497D" w:themeColor="text2"/>
          <w:sz w:val="24"/>
          <w:szCs w:val="24"/>
        </w:rPr>
        <w:t>, è un sistema software realizzato da CAD</w:t>
      </w:r>
      <w:r w:rsidR="00653D23">
        <w:rPr>
          <w:rFonts w:ascii="Century Gothic" w:hAnsi="Century Gothic"/>
          <w:color w:val="1F497D" w:themeColor="text2"/>
          <w:sz w:val="24"/>
          <w:szCs w:val="24"/>
        </w:rPr>
        <w:t xml:space="preserve"> I</w:t>
      </w:r>
      <w:r w:rsidRPr="002C2423">
        <w:rPr>
          <w:rFonts w:ascii="Century Gothic" w:hAnsi="Century Gothic"/>
          <w:color w:val="1F497D" w:themeColor="text2"/>
          <w:sz w:val="24"/>
          <w:szCs w:val="24"/>
        </w:rPr>
        <w:t>T</w:t>
      </w:r>
      <w:r w:rsidR="00653D23">
        <w:rPr>
          <w:rFonts w:ascii="Century Gothic" w:hAnsi="Century Gothic"/>
          <w:color w:val="1F497D" w:themeColor="text2"/>
          <w:sz w:val="24"/>
          <w:szCs w:val="24"/>
        </w:rPr>
        <w:t xml:space="preserve"> </w:t>
      </w:r>
      <w:proofErr w:type="spellStart"/>
      <w:r w:rsidR="00653D23">
        <w:rPr>
          <w:rFonts w:ascii="Century Gothic" w:hAnsi="Century Gothic"/>
          <w:color w:val="1F497D" w:themeColor="text2"/>
          <w:sz w:val="24"/>
          <w:szCs w:val="24"/>
        </w:rPr>
        <w:t>SpA</w:t>
      </w:r>
      <w:proofErr w:type="spellEnd"/>
      <w:r w:rsidRPr="002C2423">
        <w:rPr>
          <w:rFonts w:ascii="Century Gothic" w:hAnsi="Century Gothic"/>
          <w:color w:val="1F497D" w:themeColor="text2"/>
          <w:sz w:val="24"/>
          <w:szCs w:val="24"/>
        </w:rPr>
        <w:t xml:space="preserve"> che intermedia il Sistema di Esazione dei Tributi (</w:t>
      </w:r>
      <w:proofErr w:type="spellStart"/>
      <w:r w:rsidRPr="002C2423">
        <w:rPr>
          <w:rFonts w:ascii="Century Gothic" w:hAnsi="Century Gothic"/>
          <w:color w:val="1F497D" w:themeColor="text2"/>
          <w:sz w:val="24"/>
          <w:szCs w:val="24"/>
        </w:rPr>
        <w:t>nlenel</w:t>
      </w:r>
      <w:proofErr w:type="spellEnd"/>
      <w:r w:rsidRPr="002C2423">
        <w:rPr>
          <w:rFonts w:ascii="Century Gothic" w:hAnsi="Century Gothic"/>
          <w:color w:val="1F497D" w:themeColor="text2"/>
          <w:sz w:val="24"/>
          <w:szCs w:val="24"/>
        </w:rPr>
        <w:t xml:space="preserve"> seguito SET) verso il sistema operativo e le altre risorse software utilizzate da SET.</w:t>
      </w:r>
    </w:p>
    <w:p w14:paraId="7174C683" w14:textId="77777777" w:rsidR="002C2423" w:rsidRPr="002C2423"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 xml:space="preserve">In altri termini, il kernel è una collezione di programmi che consentono di generalizzare l’accesso ai dati, alle primitive del sistema operativo, la visualizzazione dei dati, ecc. senza però contenere le regole di business. </w:t>
      </w:r>
    </w:p>
    <w:p w14:paraId="27F07977" w14:textId="77777777" w:rsidR="006F5A8B"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La figura seguente presenta lo schema di massima relativo all’architettura di SET e la collocazione del Kernel.</w:t>
      </w:r>
    </w:p>
    <w:p w14:paraId="4F709708" w14:textId="77777777" w:rsidR="002C2423" w:rsidRDefault="002C2423" w:rsidP="00E3784D">
      <w:pPr>
        <w:tabs>
          <w:tab w:val="left" w:pos="8789"/>
        </w:tabs>
        <w:ind w:left="567" w:right="565"/>
        <w:rPr>
          <w:rFonts w:ascii="Century Gothic" w:hAnsi="Century Gothic"/>
          <w:color w:val="1F497D" w:themeColor="text2"/>
          <w:sz w:val="24"/>
          <w:szCs w:val="24"/>
        </w:rPr>
      </w:pPr>
      <w:r>
        <w:rPr>
          <w:noProof/>
          <w:lang w:eastAsia="it-IT"/>
        </w:rPr>
        <w:drawing>
          <wp:inline distT="0" distB="0" distL="0" distR="0" wp14:anchorId="5A2DD8F0" wp14:editId="2BE85744">
            <wp:extent cx="5305425" cy="326517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05425" cy="3265170"/>
                    </a:xfrm>
                    <a:prstGeom prst="rect">
                      <a:avLst/>
                    </a:prstGeom>
                  </pic:spPr>
                </pic:pic>
              </a:graphicData>
            </a:graphic>
          </wp:inline>
        </w:drawing>
      </w:r>
    </w:p>
    <w:p w14:paraId="2D5EEEB7" w14:textId="77777777" w:rsidR="00FC3463" w:rsidRPr="002C2423"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La logica di busin</w:t>
      </w:r>
      <w:r>
        <w:rPr>
          <w:rFonts w:ascii="Century Gothic" w:hAnsi="Century Gothic"/>
          <w:color w:val="1F497D" w:themeColor="text2"/>
          <w:sz w:val="24"/>
          <w:szCs w:val="24"/>
        </w:rPr>
        <w:t>ess è di fatto contenuta nei</w:t>
      </w:r>
      <w:r w:rsidRPr="002C2423">
        <w:rPr>
          <w:rFonts w:ascii="Century Gothic" w:hAnsi="Century Gothic"/>
          <w:color w:val="1F497D" w:themeColor="text2"/>
          <w:sz w:val="24"/>
          <w:szCs w:val="24"/>
        </w:rPr>
        <w:t xml:space="preserve"> sottosistemi denominati SET – ON line (che gestisce e raggruppa tutte le transazioni TP)</w:t>
      </w:r>
      <w:r>
        <w:rPr>
          <w:rFonts w:ascii="Century Gothic" w:hAnsi="Century Gothic"/>
          <w:color w:val="1F497D" w:themeColor="text2"/>
          <w:sz w:val="24"/>
          <w:szCs w:val="24"/>
        </w:rPr>
        <w:t>, Ancillari,</w:t>
      </w:r>
      <w:r w:rsidRPr="002C2423">
        <w:rPr>
          <w:rFonts w:ascii="Century Gothic" w:hAnsi="Century Gothic"/>
          <w:color w:val="1F497D" w:themeColor="text2"/>
          <w:sz w:val="24"/>
          <w:szCs w:val="24"/>
        </w:rPr>
        <w:t xml:space="preserve"> e quella SET – Batch (che raggruppa tutte le funzioni e i programmi batch).</w:t>
      </w:r>
      <w:r>
        <w:rPr>
          <w:rFonts w:ascii="Century Gothic" w:hAnsi="Century Gothic"/>
          <w:color w:val="1F497D" w:themeColor="text2"/>
          <w:sz w:val="24"/>
          <w:szCs w:val="24"/>
        </w:rPr>
        <w:t xml:space="preserve"> </w:t>
      </w:r>
      <w:r w:rsidRPr="002C2423">
        <w:rPr>
          <w:rFonts w:ascii="Century Gothic" w:hAnsi="Century Gothic"/>
          <w:color w:val="1F497D" w:themeColor="text2"/>
          <w:sz w:val="24"/>
          <w:szCs w:val="24"/>
        </w:rPr>
        <w:t xml:space="preserve">Sia SET, sia il kernel sono codificati in Cobol ed </w:t>
      </w:r>
      <w:r w:rsidRPr="002C2423">
        <w:rPr>
          <w:rFonts w:ascii="Century Gothic" w:hAnsi="Century Gothic"/>
          <w:color w:val="1F497D" w:themeColor="text2"/>
          <w:sz w:val="24"/>
          <w:szCs w:val="24"/>
        </w:rPr>
        <w:lastRenderedPageBreak/>
        <w:t xml:space="preserve">eseguiti su mainframe con sistema operativo </w:t>
      </w:r>
      <w:proofErr w:type="spellStart"/>
      <w:r w:rsidRPr="002C2423">
        <w:rPr>
          <w:rFonts w:ascii="Century Gothic" w:hAnsi="Century Gothic"/>
          <w:color w:val="1F497D" w:themeColor="text2"/>
          <w:sz w:val="24"/>
          <w:szCs w:val="24"/>
        </w:rPr>
        <w:t>zOS</w:t>
      </w:r>
      <w:proofErr w:type="spellEnd"/>
      <w:r w:rsidRPr="002C2423">
        <w:rPr>
          <w:rFonts w:ascii="Century Gothic" w:hAnsi="Century Gothic"/>
          <w:color w:val="1F497D" w:themeColor="text2"/>
          <w:sz w:val="24"/>
          <w:szCs w:val="24"/>
        </w:rPr>
        <w:t>. Per completezza, i dati sono gestiti tramite un database IBM DB2.</w:t>
      </w:r>
    </w:p>
    <w:p w14:paraId="2DF8B008" w14:textId="77777777" w:rsidR="002C2423" w:rsidRPr="002C2423"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 xml:space="preserve">Il Kernel consiste in programmi che permettono una più facile ed efficiente gestione del software applicativo, ma senza contenere le cosiddette “regole di business” (o regole di funzionamento dell’operatività aziendale). </w:t>
      </w:r>
    </w:p>
    <w:p w14:paraId="3885FCAC" w14:textId="77777777" w:rsidR="002C2423" w:rsidRPr="002C2423"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I programmi del Kernel facilitano l’aggiornamento dei dati, delle tabelle, dei data base, della memoria e dell’esecuzione di determinati programmi applicativi.</w:t>
      </w:r>
    </w:p>
    <w:p w14:paraId="073B1D31" w14:textId="77777777" w:rsidR="00FC3463" w:rsidRDefault="002C2423" w:rsidP="002C2423">
      <w:pPr>
        <w:tabs>
          <w:tab w:val="left" w:pos="8789"/>
        </w:tabs>
        <w:ind w:left="567" w:right="565" w:firstLine="567"/>
        <w:jc w:val="both"/>
        <w:rPr>
          <w:rFonts w:ascii="Century Gothic" w:hAnsi="Century Gothic"/>
          <w:color w:val="1F497D" w:themeColor="text2"/>
          <w:sz w:val="24"/>
          <w:szCs w:val="24"/>
        </w:rPr>
      </w:pPr>
      <w:r w:rsidRPr="002C2423">
        <w:rPr>
          <w:rFonts w:ascii="Century Gothic" w:hAnsi="Century Gothic"/>
          <w:color w:val="1F497D" w:themeColor="text2"/>
          <w:sz w:val="24"/>
          <w:szCs w:val="24"/>
        </w:rPr>
        <w:t>Resta inteso che sebbene il Kernel si configuri come un middleware tra i programmi SET e le altre risorse del sistema, SET è al momento progettato per funzionare sul Kernel in quanto ne usa le funzioni e le primitive programmabili.</w:t>
      </w:r>
    </w:p>
    <w:p w14:paraId="01DB97F4" w14:textId="77777777" w:rsidR="002C2423" w:rsidRDefault="002C2423" w:rsidP="002C242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 seguente figura illustra i diversi componenti del Kernel:</w:t>
      </w:r>
    </w:p>
    <w:p w14:paraId="60611320" w14:textId="77777777" w:rsidR="002C2423" w:rsidRDefault="002C2423" w:rsidP="00E3784D">
      <w:pPr>
        <w:tabs>
          <w:tab w:val="left" w:pos="8789"/>
        </w:tabs>
        <w:ind w:left="567" w:right="565"/>
        <w:jc w:val="center"/>
        <w:rPr>
          <w:rFonts w:ascii="Century Gothic" w:hAnsi="Century Gothic"/>
          <w:color w:val="1F497D" w:themeColor="text2"/>
          <w:sz w:val="24"/>
          <w:szCs w:val="24"/>
        </w:rPr>
      </w:pPr>
      <w:r>
        <w:rPr>
          <w:rFonts w:ascii="Century Gothic" w:hAnsi="Century Gothic"/>
          <w:noProof/>
          <w:color w:val="1F497D" w:themeColor="text2"/>
          <w:sz w:val="24"/>
          <w:szCs w:val="24"/>
          <w:lang w:eastAsia="it-IT"/>
        </w:rPr>
        <w:drawing>
          <wp:inline distT="0" distB="0" distL="0" distR="0" wp14:anchorId="0B688AA5" wp14:editId="449BA599">
            <wp:extent cx="5414010" cy="363347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4010" cy="3633470"/>
                    </a:xfrm>
                    <a:prstGeom prst="rect">
                      <a:avLst/>
                    </a:prstGeom>
                    <a:noFill/>
                  </pic:spPr>
                </pic:pic>
              </a:graphicData>
            </a:graphic>
          </wp:inline>
        </w:drawing>
      </w:r>
    </w:p>
    <w:p w14:paraId="176F09EE" w14:textId="77777777" w:rsidR="002C2423" w:rsidRDefault="002C2423" w:rsidP="002C2423">
      <w:pPr>
        <w:pStyle w:val="Paragrafoelenco"/>
        <w:numPr>
          <w:ilvl w:val="0"/>
          <w:numId w:val="10"/>
        </w:numPr>
        <w:tabs>
          <w:tab w:val="left" w:pos="8789"/>
        </w:tabs>
        <w:ind w:right="565"/>
        <w:rPr>
          <w:rFonts w:ascii="Century Gothic" w:hAnsi="Century Gothic"/>
          <w:color w:val="1F497D" w:themeColor="text2"/>
          <w:sz w:val="24"/>
          <w:szCs w:val="24"/>
        </w:rPr>
      </w:pPr>
      <w:bookmarkStart w:id="0" w:name="_GoBack"/>
      <w:bookmarkEnd w:id="0"/>
      <w:r>
        <w:rPr>
          <w:rFonts w:ascii="Century Gothic" w:hAnsi="Century Gothic"/>
          <w:color w:val="1F497D" w:themeColor="text2"/>
          <w:sz w:val="24"/>
          <w:szCs w:val="24"/>
        </w:rPr>
        <w:t>Framework – City</w:t>
      </w:r>
      <w:r>
        <w:rPr>
          <w:rFonts w:ascii="Century Gothic" w:hAnsi="Century Gothic"/>
          <w:color w:val="1F497D" w:themeColor="text2"/>
          <w:sz w:val="24"/>
          <w:szCs w:val="24"/>
        </w:rPr>
        <w:br/>
      </w:r>
      <w:r w:rsidRPr="002C2423">
        <w:rPr>
          <w:rFonts w:ascii="Century Gothic" w:hAnsi="Century Gothic"/>
          <w:color w:val="1F497D" w:themeColor="text2"/>
          <w:sz w:val="24"/>
          <w:szCs w:val="24"/>
        </w:rPr>
        <w:t xml:space="preserve">Infrastruttura di base per le applicazioni e i servizi. Garantisce l’indipendenza dal TP -Monitor, dal database, dal sistema operativo e fornisce tutte le funzionalità di base </w:t>
      </w:r>
      <w:r w:rsidRPr="002C2423">
        <w:rPr>
          <w:rFonts w:ascii="Century Gothic" w:hAnsi="Century Gothic"/>
          <w:color w:val="1F497D" w:themeColor="text2"/>
          <w:sz w:val="24"/>
          <w:szCs w:val="24"/>
        </w:rPr>
        <w:lastRenderedPageBreak/>
        <w:t>per la gestione della sicurezza, dei menu in base ai profili, della multisessione, dei moduli di sicurezza su dati e operazioni, della paginazione, delle segnalazioni di errore, delle stampe, e altro</w:t>
      </w:r>
      <w:r>
        <w:rPr>
          <w:rFonts w:ascii="Century Gothic" w:hAnsi="Century Gothic"/>
          <w:color w:val="1F497D" w:themeColor="text2"/>
          <w:sz w:val="24"/>
          <w:szCs w:val="24"/>
        </w:rPr>
        <w:br/>
      </w:r>
    </w:p>
    <w:p w14:paraId="19DC9F0B" w14:textId="77777777" w:rsidR="002C2423" w:rsidRDefault="002C2423" w:rsidP="002C2423">
      <w:pPr>
        <w:pStyle w:val="Paragrafoelenco"/>
        <w:numPr>
          <w:ilvl w:val="0"/>
          <w:numId w:val="10"/>
        </w:numPr>
        <w:tabs>
          <w:tab w:val="left" w:pos="8789"/>
        </w:tabs>
        <w:ind w:right="565"/>
        <w:rPr>
          <w:rFonts w:ascii="Century Gothic" w:hAnsi="Century Gothic"/>
          <w:color w:val="1F497D" w:themeColor="text2"/>
          <w:sz w:val="24"/>
          <w:szCs w:val="24"/>
        </w:rPr>
      </w:pPr>
      <w:r>
        <w:rPr>
          <w:rFonts w:ascii="Century Gothic" w:hAnsi="Century Gothic"/>
          <w:color w:val="1F497D" w:themeColor="text2"/>
          <w:sz w:val="24"/>
          <w:szCs w:val="24"/>
        </w:rPr>
        <w:t>Framework – Driver</w:t>
      </w:r>
      <w:r>
        <w:rPr>
          <w:rFonts w:ascii="Century Gothic" w:hAnsi="Century Gothic"/>
          <w:color w:val="1F497D" w:themeColor="text2"/>
          <w:sz w:val="24"/>
          <w:szCs w:val="24"/>
        </w:rPr>
        <w:br/>
      </w:r>
      <w:r w:rsidRPr="002C2423">
        <w:rPr>
          <w:rFonts w:ascii="Century Gothic" w:hAnsi="Century Gothic"/>
          <w:color w:val="1F497D" w:themeColor="text2"/>
          <w:sz w:val="24"/>
          <w:szCs w:val="24"/>
        </w:rPr>
        <w:t xml:space="preserve">Infrastruttura di base per le applicazioni “ante riforma” (funzionalità del sistema SET relative alla gestione della riscossione dei carichi con iscrizioni a ruolo precedenti all’anno 2000 che erano state sviluppate basandosi su una versione precedente del Kernel e con funzionalità limitate) integrata con il Framework City per sfruttare tutte le funzionalità del nuovo </w:t>
      </w:r>
      <w:proofErr w:type="spellStart"/>
      <w:r w:rsidRPr="002C2423">
        <w:rPr>
          <w:rFonts w:ascii="Century Gothic" w:hAnsi="Century Gothic"/>
          <w:color w:val="1F497D" w:themeColor="text2"/>
          <w:sz w:val="24"/>
          <w:szCs w:val="24"/>
        </w:rPr>
        <w:t>FrameWork</w:t>
      </w:r>
      <w:proofErr w:type="spellEnd"/>
      <w:r>
        <w:rPr>
          <w:rFonts w:ascii="Century Gothic" w:hAnsi="Century Gothic"/>
          <w:color w:val="1F497D" w:themeColor="text2"/>
          <w:sz w:val="24"/>
          <w:szCs w:val="24"/>
        </w:rPr>
        <w:br/>
      </w:r>
    </w:p>
    <w:p w14:paraId="3FCE2996" w14:textId="77777777" w:rsidR="002C2423" w:rsidRDefault="002C2423" w:rsidP="002C2423">
      <w:pPr>
        <w:pStyle w:val="Paragrafoelenco"/>
        <w:numPr>
          <w:ilvl w:val="0"/>
          <w:numId w:val="10"/>
        </w:numPr>
        <w:tabs>
          <w:tab w:val="left" w:pos="8789"/>
        </w:tabs>
        <w:ind w:right="565"/>
        <w:rPr>
          <w:rFonts w:ascii="Century Gothic" w:hAnsi="Century Gothic"/>
          <w:color w:val="1F497D" w:themeColor="text2"/>
          <w:sz w:val="24"/>
          <w:szCs w:val="24"/>
        </w:rPr>
      </w:pPr>
      <w:r>
        <w:rPr>
          <w:rFonts w:ascii="Century Gothic" w:hAnsi="Century Gothic"/>
          <w:color w:val="1F497D" w:themeColor="text2"/>
          <w:sz w:val="24"/>
          <w:szCs w:val="24"/>
        </w:rPr>
        <w:t>Framework – SK – Schede parametro</w:t>
      </w:r>
      <w:r>
        <w:rPr>
          <w:rFonts w:ascii="Century Gothic" w:hAnsi="Century Gothic"/>
          <w:color w:val="1F497D" w:themeColor="text2"/>
          <w:sz w:val="24"/>
          <w:szCs w:val="24"/>
        </w:rPr>
        <w:br/>
      </w:r>
      <w:r w:rsidRPr="002C2423">
        <w:rPr>
          <w:rFonts w:ascii="Century Gothic" w:hAnsi="Century Gothic"/>
          <w:color w:val="1F497D" w:themeColor="text2"/>
          <w:sz w:val="24"/>
          <w:szCs w:val="24"/>
        </w:rPr>
        <w:t>Componenti per la gestione on-line di inserimento e controllo dei parametri, la prenotazione e la gestione delle fasi batch a richiesta o periodiche e il monitoraggio degli stati delle singole elaborazioni</w:t>
      </w:r>
      <w:r>
        <w:rPr>
          <w:rFonts w:ascii="Century Gothic" w:hAnsi="Century Gothic"/>
          <w:color w:val="1F497D" w:themeColor="text2"/>
          <w:sz w:val="24"/>
          <w:szCs w:val="24"/>
        </w:rPr>
        <w:br/>
      </w:r>
    </w:p>
    <w:p w14:paraId="631E28FF" w14:textId="77777777" w:rsidR="002C2423" w:rsidRDefault="002C2423" w:rsidP="002C2423">
      <w:pPr>
        <w:pStyle w:val="Paragrafoelenco"/>
        <w:numPr>
          <w:ilvl w:val="0"/>
          <w:numId w:val="10"/>
        </w:numPr>
        <w:tabs>
          <w:tab w:val="left" w:pos="8789"/>
        </w:tabs>
        <w:ind w:right="565"/>
        <w:rPr>
          <w:rFonts w:ascii="Century Gothic" w:hAnsi="Century Gothic"/>
          <w:color w:val="1F497D" w:themeColor="text2"/>
          <w:sz w:val="24"/>
          <w:szCs w:val="24"/>
        </w:rPr>
      </w:pPr>
      <w:r>
        <w:rPr>
          <w:rFonts w:ascii="Century Gothic" w:hAnsi="Century Gothic"/>
          <w:color w:val="1F497D" w:themeColor="text2"/>
          <w:sz w:val="24"/>
          <w:szCs w:val="24"/>
        </w:rPr>
        <w:t>Routine di accesso ai dati</w:t>
      </w:r>
      <w:r>
        <w:rPr>
          <w:rFonts w:ascii="Century Gothic" w:hAnsi="Century Gothic"/>
          <w:color w:val="1F497D" w:themeColor="text2"/>
          <w:sz w:val="24"/>
          <w:szCs w:val="24"/>
        </w:rPr>
        <w:br/>
      </w:r>
      <w:r w:rsidRPr="002C2423">
        <w:rPr>
          <w:rFonts w:ascii="Century Gothic" w:hAnsi="Century Gothic"/>
          <w:color w:val="1F497D" w:themeColor="text2"/>
          <w:sz w:val="24"/>
          <w:szCs w:val="24"/>
        </w:rPr>
        <w:t xml:space="preserve">Componenti di I-O che mettono a disposizione dei programmi/servizi </w:t>
      </w:r>
      <w:proofErr w:type="spellStart"/>
      <w:r w:rsidRPr="002C2423">
        <w:rPr>
          <w:rFonts w:ascii="Century Gothic" w:hAnsi="Century Gothic"/>
          <w:color w:val="1F497D" w:themeColor="text2"/>
          <w:sz w:val="24"/>
          <w:szCs w:val="24"/>
        </w:rPr>
        <w:t>tp</w:t>
      </w:r>
      <w:proofErr w:type="spellEnd"/>
      <w:r w:rsidRPr="002C2423">
        <w:rPr>
          <w:rFonts w:ascii="Century Gothic" w:hAnsi="Century Gothic"/>
          <w:color w:val="1F497D" w:themeColor="text2"/>
          <w:sz w:val="24"/>
          <w:szCs w:val="24"/>
        </w:rPr>
        <w:t>/batch le funzionalità di accesso alla base dati e garantire indipendenza dal database.</w:t>
      </w:r>
      <w:r>
        <w:rPr>
          <w:rFonts w:ascii="Century Gothic" w:hAnsi="Century Gothic"/>
          <w:color w:val="1F497D" w:themeColor="text2"/>
          <w:sz w:val="24"/>
          <w:szCs w:val="24"/>
        </w:rPr>
        <w:br/>
      </w:r>
    </w:p>
    <w:p w14:paraId="17179FBF" w14:textId="77777777" w:rsidR="002C2423" w:rsidRPr="002C2423" w:rsidRDefault="002C2423" w:rsidP="002C2423">
      <w:pPr>
        <w:tabs>
          <w:tab w:val="left" w:pos="8789"/>
        </w:tabs>
        <w:ind w:left="1494" w:right="565"/>
        <w:rPr>
          <w:rFonts w:ascii="Century Gothic" w:hAnsi="Century Gothic"/>
          <w:b/>
          <w:i/>
          <w:color w:val="1F497D" w:themeColor="text2"/>
          <w:sz w:val="24"/>
          <w:szCs w:val="24"/>
        </w:rPr>
      </w:pPr>
      <w:r w:rsidRPr="002C2423">
        <w:rPr>
          <w:rFonts w:ascii="Century Gothic" w:hAnsi="Century Gothic"/>
          <w:b/>
          <w:i/>
          <w:color w:val="1F497D" w:themeColor="text2"/>
          <w:sz w:val="24"/>
          <w:szCs w:val="24"/>
        </w:rPr>
        <w:t>City Workbench</w:t>
      </w:r>
    </w:p>
    <w:p w14:paraId="00582574" w14:textId="77777777" w:rsidR="002C2423" w:rsidRDefault="00D23C70"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City </w:t>
      </w:r>
      <w:proofErr w:type="spellStart"/>
      <w:r>
        <w:rPr>
          <w:rFonts w:ascii="Century Gothic" w:hAnsi="Century Gothic"/>
          <w:color w:val="1F497D" w:themeColor="text2"/>
          <w:sz w:val="24"/>
          <w:szCs w:val="24"/>
        </w:rPr>
        <w:t>Wokbench</w:t>
      </w:r>
      <w:proofErr w:type="spellEnd"/>
      <w:r>
        <w:rPr>
          <w:rFonts w:ascii="Century Gothic" w:hAnsi="Century Gothic"/>
          <w:color w:val="1F497D" w:themeColor="text2"/>
          <w:sz w:val="24"/>
          <w:szCs w:val="24"/>
        </w:rPr>
        <w:t xml:space="preserve"> è un sistema di sviluppo IDE (</w:t>
      </w:r>
      <w:proofErr w:type="spellStart"/>
      <w:r>
        <w:rPr>
          <w:rFonts w:ascii="Century Gothic" w:hAnsi="Century Gothic"/>
          <w:color w:val="1F497D" w:themeColor="text2"/>
          <w:sz w:val="24"/>
          <w:szCs w:val="24"/>
        </w:rPr>
        <w:t>Integrated</w:t>
      </w:r>
      <w:proofErr w:type="spellEnd"/>
      <w:r>
        <w:rPr>
          <w:rFonts w:ascii="Century Gothic" w:hAnsi="Century Gothic"/>
          <w:color w:val="1F497D" w:themeColor="text2"/>
          <w:sz w:val="24"/>
          <w:szCs w:val="24"/>
        </w:rPr>
        <w:t xml:space="preserve"> Development Environment) che agevola nello sviluppo/manutenzione di </w:t>
      </w:r>
      <w:proofErr w:type="spellStart"/>
      <w:r>
        <w:rPr>
          <w:rFonts w:ascii="Century Gothic" w:hAnsi="Century Gothic"/>
          <w:color w:val="1F497D" w:themeColor="text2"/>
          <w:sz w:val="24"/>
          <w:szCs w:val="24"/>
        </w:rPr>
        <w:t>sw</w:t>
      </w:r>
      <w:proofErr w:type="spellEnd"/>
      <w:r>
        <w:rPr>
          <w:rFonts w:ascii="Century Gothic" w:hAnsi="Century Gothic"/>
          <w:color w:val="1F497D" w:themeColor="text2"/>
          <w:sz w:val="24"/>
          <w:szCs w:val="24"/>
        </w:rPr>
        <w:t xml:space="preserve"> applicativo, relativo cioè alle regole di business, basato sull’utilizzo del Kernel descritto nel paragrafo precedente.</w:t>
      </w:r>
    </w:p>
    <w:p w14:paraId="50A1760E" w14:textId="77777777" w:rsidR="00D23C70" w:rsidRDefault="00D23C70"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Viene installato sulla postazione di lavoro, PC basato su sistema operativo Windows, del programmatore e lo agevola nell’utilizzo delle funzionalità ed interfacce del Kernel durante lo sviluppo e manutenzione del </w:t>
      </w:r>
      <w:proofErr w:type="spellStart"/>
      <w:r>
        <w:rPr>
          <w:rFonts w:ascii="Century Gothic" w:hAnsi="Century Gothic"/>
          <w:color w:val="1F497D" w:themeColor="text2"/>
          <w:sz w:val="24"/>
          <w:szCs w:val="24"/>
        </w:rPr>
        <w:t>sw</w:t>
      </w:r>
      <w:proofErr w:type="spellEnd"/>
      <w:r>
        <w:rPr>
          <w:rFonts w:ascii="Century Gothic" w:hAnsi="Century Gothic"/>
          <w:color w:val="1F497D" w:themeColor="text2"/>
          <w:sz w:val="24"/>
          <w:szCs w:val="24"/>
        </w:rPr>
        <w:t>.</w:t>
      </w:r>
    </w:p>
    <w:p w14:paraId="5D3AE9A7" w14:textId="77777777" w:rsidR="00CE35EA" w:rsidRDefault="00CE35EA"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t>City Workbench permette, tra le altre cose, tutte le mappe TP di SET.</w:t>
      </w:r>
    </w:p>
    <w:p w14:paraId="3822897B" w14:textId="77777777" w:rsidR="00CE35EA" w:rsidRDefault="00CE35EA"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Nel caso di proposta di sostituzione di City Workbench con altra soluzione, dovrà essere prevista da parte del fornitore proponente, la migrazione di tutto il codice sorgente SET, gestito da City Workbench, sulla piattaforma proposta.</w:t>
      </w:r>
    </w:p>
    <w:p w14:paraId="2000F70C" w14:textId="77777777" w:rsidR="002C2423" w:rsidRDefault="002C2423" w:rsidP="002C2423">
      <w:pPr>
        <w:tabs>
          <w:tab w:val="left" w:pos="8789"/>
        </w:tabs>
        <w:ind w:left="1494" w:right="565"/>
        <w:rPr>
          <w:rFonts w:ascii="Century Gothic" w:hAnsi="Century Gothic"/>
          <w:color w:val="1F497D" w:themeColor="text2"/>
          <w:sz w:val="24"/>
          <w:szCs w:val="24"/>
        </w:rPr>
      </w:pPr>
    </w:p>
    <w:p w14:paraId="60124626" w14:textId="77777777" w:rsidR="002C2423" w:rsidRPr="002C2423" w:rsidRDefault="002C2423" w:rsidP="002C2423">
      <w:pPr>
        <w:tabs>
          <w:tab w:val="left" w:pos="8789"/>
        </w:tabs>
        <w:ind w:left="1494" w:right="565"/>
        <w:rPr>
          <w:rFonts w:ascii="Century Gothic" w:hAnsi="Century Gothic"/>
          <w:b/>
          <w:i/>
          <w:color w:val="1F497D" w:themeColor="text2"/>
          <w:sz w:val="24"/>
          <w:szCs w:val="24"/>
        </w:rPr>
      </w:pPr>
      <w:r w:rsidRPr="002C2423">
        <w:rPr>
          <w:rFonts w:ascii="Century Gothic" w:hAnsi="Century Gothic"/>
          <w:b/>
          <w:i/>
          <w:color w:val="1F497D" w:themeColor="text2"/>
          <w:sz w:val="24"/>
          <w:szCs w:val="24"/>
        </w:rPr>
        <w:t>Antiriciclaggio</w:t>
      </w:r>
    </w:p>
    <w:p w14:paraId="381A01E3" w14:textId="77777777" w:rsidR="002C2423" w:rsidRDefault="00D23C70" w:rsidP="00E36D5D">
      <w:pPr>
        <w:tabs>
          <w:tab w:val="left" w:pos="8789"/>
        </w:tabs>
        <w:ind w:left="1494" w:right="565"/>
        <w:jc w:val="both"/>
        <w:rPr>
          <w:rFonts w:ascii="Century Gothic" w:hAnsi="Century Gothic"/>
          <w:color w:val="1F497D" w:themeColor="text2"/>
          <w:sz w:val="24"/>
          <w:szCs w:val="24"/>
        </w:rPr>
      </w:pPr>
      <w:proofErr w:type="gramStart"/>
      <w:r>
        <w:rPr>
          <w:rFonts w:ascii="Century Gothic" w:hAnsi="Century Gothic"/>
          <w:color w:val="1F497D" w:themeColor="text2"/>
          <w:sz w:val="24"/>
          <w:szCs w:val="24"/>
        </w:rPr>
        <w:t>E’</w:t>
      </w:r>
      <w:proofErr w:type="gramEnd"/>
      <w:r>
        <w:rPr>
          <w:rFonts w:ascii="Century Gothic" w:hAnsi="Century Gothic"/>
          <w:color w:val="1F497D" w:themeColor="text2"/>
          <w:sz w:val="24"/>
          <w:szCs w:val="24"/>
        </w:rPr>
        <w:t xml:space="preserve"> un modulo SW che supporta gli operatori del sistema SET negli adempimenti previsti dal D.lgs. 25 maggio 2017, n. 90.</w:t>
      </w:r>
    </w:p>
    <w:p w14:paraId="58C73263" w14:textId="77777777" w:rsidR="00D23C70" w:rsidRDefault="003B38F4"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Il modulo espone delle interfacce, sempre basandosi sui servizi/funzionalità del Kernel, che vengono utilizzate dal sistema SET per il trasferimento di dati relativi alle operazioni di </w:t>
      </w:r>
      <w:proofErr w:type="spellStart"/>
      <w:r>
        <w:rPr>
          <w:rFonts w:ascii="Century Gothic" w:hAnsi="Century Gothic"/>
          <w:color w:val="1F497D" w:themeColor="text2"/>
          <w:sz w:val="24"/>
          <w:szCs w:val="24"/>
        </w:rPr>
        <w:t>quietanzamento</w:t>
      </w:r>
      <w:proofErr w:type="spellEnd"/>
      <w:r>
        <w:rPr>
          <w:rFonts w:ascii="Century Gothic" w:hAnsi="Century Gothic"/>
          <w:color w:val="1F497D" w:themeColor="text2"/>
          <w:sz w:val="24"/>
          <w:szCs w:val="24"/>
        </w:rPr>
        <w:t xml:space="preserve">. </w:t>
      </w:r>
    </w:p>
    <w:p w14:paraId="6CE4E065" w14:textId="77777777" w:rsidR="00265E26" w:rsidRDefault="003B38F4"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In altri termini, quando l’operatore di cassa effettua le operazioni di </w:t>
      </w:r>
      <w:proofErr w:type="spellStart"/>
      <w:r>
        <w:rPr>
          <w:rFonts w:ascii="Century Gothic" w:hAnsi="Century Gothic"/>
          <w:color w:val="1F497D" w:themeColor="text2"/>
          <w:sz w:val="24"/>
          <w:szCs w:val="24"/>
        </w:rPr>
        <w:t>quietanzamento</w:t>
      </w:r>
      <w:proofErr w:type="spellEnd"/>
      <w:r>
        <w:rPr>
          <w:rFonts w:ascii="Century Gothic" w:hAnsi="Century Gothic"/>
          <w:color w:val="1F497D" w:themeColor="text2"/>
          <w:sz w:val="24"/>
          <w:szCs w:val="24"/>
        </w:rPr>
        <w:t xml:space="preserve">, le funzioni di cassa del sistema SET interagiscono, attraverso il concetto di “servizi” del Kernel, con il modulo </w:t>
      </w:r>
      <w:proofErr w:type="spellStart"/>
      <w:r>
        <w:rPr>
          <w:rFonts w:ascii="Century Gothic" w:hAnsi="Century Gothic"/>
          <w:color w:val="1F497D" w:themeColor="text2"/>
          <w:sz w:val="24"/>
          <w:szCs w:val="24"/>
        </w:rPr>
        <w:t>Antiriclaggio</w:t>
      </w:r>
      <w:proofErr w:type="spellEnd"/>
      <w:r>
        <w:rPr>
          <w:rFonts w:ascii="Century Gothic" w:hAnsi="Century Gothic"/>
          <w:color w:val="1F497D" w:themeColor="text2"/>
          <w:sz w:val="24"/>
          <w:szCs w:val="24"/>
        </w:rPr>
        <w:t xml:space="preserve"> al fine di inviare i dati relativi alla transazione</w:t>
      </w:r>
      <w:r w:rsidR="00783432">
        <w:rPr>
          <w:rFonts w:ascii="Century Gothic" w:hAnsi="Century Gothic"/>
          <w:color w:val="1F497D" w:themeColor="text2"/>
          <w:sz w:val="24"/>
          <w:szCs w:val="24"/>
        </w:rPr>
        <w:t>.</w:t>
      </w:r>
    </w:p>
    <w:p w14:paraId="23817A21" w14:textId="77777777" w:rsidR="00A32932" w:rsidRPr="00783432" w:rsidRDefault="00674C74" w:rsidP="00E36D5D">
      <w:pPr>
        <w:tabs>
          <w:tab w:val="left" w:pos="8789"/>
        </w:tabs>
        <w:ind w:left="1494"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Resta inteso che l’eventuale sostituzione del sistema di </w:t>
      </w:r>
      <w:proofErr w:type="spellStart"/>
      <w:r>
        <w:rPr>
          <w:rFonts w:ascii="Century Gothic" w:hAnsi="Century Gothic"/>
          <w:color w:val="1F497D" w:themeColor="text2"/>
          <w:sz w:val="24"/>
          <w:szCs w:val="24"/>
        </w:rPr>
        <w:t>Antireciclaggio</w:t>
      </w:r>
      <w:proofErr w:type="spellEnd"/>
      <w:r>
        <w:rPr>
          <w:rFonts w:ascii="Century Gothic" w:hAnsi="Century Gothic"/>
          <w:color w:val="1F497D" w:themeColor="text2"/>
          <w:sz w:val="24"/>
          <w:szCs w:val="24"/>
        </w:rPr>
        <w:t>, richiederà da parte del fornitore l’attività di integrazione della soluzione proposta con SET, tramite il kernel o suo equivalente.</w:t>
      </w:r>
      <w:r w:rsidR="00265E26">
        <w:rPr>
          <w:rFonts w:ascii="Century Gothic" w:hAnsi="Century Gothic"/>
          <w:color w:val="1F497D" w:themeColor="text2"/>
          <w:sz w:val="24"/>
          <w:szCs w:val="24"/>
        </w:rPr>
        <w:t xml:space="preserve"> </w:t>
      </w:r>
      <w:r w:rsidR="00A32932">
        <w:rPr>
          <w:rFonts w:ascii="Century Gothic" w:hAnsi="Century Gothic" w:cs="Courier New"/>
          <w:b/>
          <w:bCs/>
          <w:i/>
          <w:color w:val="1F497D" w:themeColor="text2"/>
          <w:sz w:val="24"/>
        </w:rPr>
        <w:br w:type="page"/>
      </w:r>
    </w:p>
    <w:p w14:paraId="39370C25"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0FD9BE36"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2F62DE22" w14:textId="4CDE891A" w:rsidR="00E106C5"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sidR="00783432">
        <w:rPr>
          <w:rFonts w:ascii="Century Gothic" w:hAnsi="Century Gothic" w:cs="Courier New"/>
          <w:color w:val="1F497D" w:themeColor="text2"/>
          <w:sz w:val="24"/>
        </w:rPr>
        <w:t xml:space="preserve">manutenzione </w:t>
      </w:r>
      <w:proofErr w:type="spellStart"/>
      <w:r w:rsidR="00783432">
        <w:rPr>
          <w:rFonts w:ascii="Century Gothic" w:hAnsi="Century Gothic" w:cs="Courier New"/>
          <w:color w:val="1F497D" w:themeColor="text2"/>
          <w:sz w:val="24"/>
        </w:rPr>
        <w:t>sw</w:t>
      </w:r>
      <w:proofErr w:type="spellEnd"/>
      <w:r w:rsidR="00783432">
        <w:rPr>
          <w:rFonts w:ascii="Century Gothic" w:hAnsi="Century Gothic" w:cs="Courier New"/>
          <w:color w:val="1F497D" w:themeColor="text2"/>
          <w:sz w:val="24"/>
        </w:rPr>
        <w:t xml:space="preserve"> sui pr</w:t>
      </w:r>
      <w:r w:rsidR="005D0D19">
        <w:rPr>
          <w:rFonts w:ascii="Century Gothic" w:hAnsi="Century Gothic" w:cs="Courier New"/>
          <w:color w:val="1F497D" w:themeColor="text2"/>
          <w:sz w:val="24"/>
        </w:rPr>
        <w:t>o</w:t>
      </w:r>
      <w:r w:rsidR="00783432">
        <w:rPr>
          <w:rFonts w:ascii="Century Gothic" w:hAnsi="Century Gothic" w:cs="Courier New"/>
          <w:color w:val="1F497D" w:themeColor="text2"/>
          <w:sz w:val="24"/>
        </w:rPr>
        <w:t xml:space="preserve">dotti </w:t>
      </w:r>
      <w:r w:rsidR="00653D23">
        <w:rPr>
          <w:rFonts w:ascii="Century Gothic" w:hAnsi="Century Gothic" w:cs="Courier New"/>
          <w:color w:val="1F497D" w:themeColor="text2"/>
          <w:sz w:val="24"/>
        </w:rPr>
        <w:t xml:space="preserve">di </w:t>
      </w:r>
      <w:r w:rsidR="00783432">
        <w:rPr>
          <w:rFonts w:ascii="Century Gothic" w:hAnsi="Century Gothic" w:cs="Courier New"/>
          <w:color w:val="1F497D" w:themeColor="text2"/>
          <w:sz w:val="24"/>
        </w:rPr>
        <w:t>CAD</w:t>
      </w:r>
      <w:r w:rsidR="00653D23">
        <w:rPr>
          <w:rFonts w:ascii="Century Gothic" w:hAnsi="Century Gothic" w:cs="Courier New"/>
          <w:color w:val="1F497D" w:themeColor="text2"/>
          <w:sz w:val="24"/>
        </w:rPr>
        <w:t xml:space="preserve"> </w:t>
      </w:r>
      <w:r w:rsidR="00783432">
        <w:rPr>
          <w:rFonts w:ascii="Century Gothic" w:hAnsi="Century Gothic" w:cs="Courier New"/>
          <w:color w:val="1F497D" w:themeColor="text2"/>
          <w:sz w:val="24"/>
        </w:rPr>
        <w:t xml:space="preserve">IT </w:t>
      </w:r>
      <w:proofErr w:type="spellStart"/>
      <w:r w:rsidR="00653D23">
        <w:rPr>
          <w:rFonts w:ascii="Century Gothic" w:hAnsi="Century Gothic" w:cs="Courier New"/>
          <w:color w:val="1F497D" w:themeColor="text2"/>
          <w:sz w:val="24"/>
        </w:rPr>
        <w:t>SpA</w:t>
      </w:r>
      <w:proofErr w:type="spellEnd"/>
      <w:r w:rsidR="00653D23">
        <w:rPr>
          <w:rFonts w:ascii="Century Gothic" w:hAnsi="Century Gothic" w:cs="Courier New"/>
          <w:color w:val="1F497D" w:themeColor="text2"/>
          <w:sz w:val="24"/>
        </w:rPr>
        <w:t xml:space="preserve"> </w:t>
      </w:r>
      <w:r w:rsidR="00783432">
        <w:rPr>
          <w:rFonts w:ascii="Century Gothic" w:hAnsi="Century Gothic" w:cs="Courier New"/>
          <w:color w:val="1F497D" w:themeColor="text2"/>
          <w:sz w:val="24"/>
        </w:rPr>
        <w:t xml:space="preserve">esposti precedentemente </w:t>
      </w:r>
      <w:r w:rsidR="00D17BDA">
        <w:rPr>
          <w:rFonts w:ascii="Century Gothic" w:hAnsi="Century Gothic" w:cs="Courier New"/>
          <w:color w:val="1F497D" w:themeColor="text2"/>
          <w:sz w:val="24"/>
        </w:rPr>
        <w:t>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443A83">
        <w:rPr>
          <w:rFonts w:ascii="Century Gothic" w:hAnsi="Century Gothic" w:cs="Courier New"/>
          <w:color w:val="1F497D" w:themeColor="text2"/>
          <w:sz w:val="24"/>
        </w:rPr>
        <w:t xml:space="preserve">rivendita ed </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783432">
        <w:rPr>
          <w:rFonts w:ascii="Century Gothic" w:hAnsi="Century Gothic" w:cs="Courier New"/>
          <w:color w:val="1F497D" w:themeColor="text2"/>
          <w:sz w:val="24"/>
        </w:rPr>
        <w:t>l servizio</w:t>
      </w:r>
      <w:r w:rsidR="0025471E" w:rsidRPr="00443A83">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richiesto</w:t>
      </w:r>
      <w:r w:rsidRPr="00E106C5">
        <w:rPr>
          <w:rFonts w:ascii="Century Gothic" w:hAnsi="Century Gothic" w:cs="Courier New"/>
          <w:color w:val="1F497D" w:themeColor="text2"/>
          <w:sz w:val="24"/>
        </w:rPr>
        <w:t>?</w:t>
      </w:r>
    </w:p>
    <w:p w14:paraId="7EF080E2"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B8D69B1" w14:textId="77777777" w:rsidR="00036B3F" w:rsidRPr="00036B3F"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quali elementi potrebbero essere considerati punti di forza </w:t>
      </w:r>
      <w:proofErr w:type="gramStart"/>
      <w:r w:rsidR="00443A83" w:rsidRPr="00443A83">
        <w:rPr>
          <w:rFonts w:ascii="Century Gothic" w:hAnsi="Century Gothic" w:cs="Courier New"/>
          <w:color w:val="1F497D" w:themeColor="text2"/>
          <w:sz w:val="24"/>
        </w:rPr>
        <w:t>ovvero  costituire</w:t>
      </w:r>
      <w:proofErr w:type="gramEnd"/>
      <w:r w:rsidR="00443A83" w:rsidRPr="00443A83">
        <w:rPr>
          <w:rFonts w:ascii="Century Gothic" w:hAnsi="Century Gothic" w:cs="Courier New"/>
          <w:color w:val="1F497D" w:themeColor="text2"/>
          <w:sz w:val="24"/>
        </w:rPr>
        <w:t xml:space="preserv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2B1C946D"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276ED72" w14:textId="77777777" w:rsidR="00036B3F" w:rsidRPr="00036B3F" w:rsidRDefault="00443A83" w:rsidP="00DD36F1">
      <w:pPr>
        <w:numPr>
          <w:ilvl w:val="0"/>
          <w:numId w:val="1"/>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 (periodo di riferimento 2015-18)</w:t>
      </w:r>
      <w:r w:rsidR="00E106C5" w:rsidRPr="00E106C5">
        <w:rPr>
          <w:rFonts w:ascii="Century Gothic" w:hAnsi="Century Gothic" w:cs="Courier New"/>
          <w:color w:val="1F497D" w:themeColor="text2"/>
          <w:sz w:val="24"/>
        </w:rPr>
        <w:t>?</w:t>
      </w:r>
    </w:p>
    <w:p w14:paraId="277FEBB5"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182488F"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E268392"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alternative in grado di soddisfare le necessità dell’Agenzia? In caso affermativo, si chiede di descrivere le caratteristiche delle soluzioni alternative e gli eventuali ambiti in cui sono </w:t>
      </w:r>
      <w:r>
        <w:rPr>
          <w:rFonts w:ascii="Century Gothic" w:hAnsi="Century Gothic" w:cs="Courier New"/>
          <w:color w:val="1F497D" w:themeColor="text2"/>
          <w:sz w:val="24"/>
        </w:rPr>
        <w:lastRenderedPageBreak/>
        <w:t>impiegate in contesti analoghi a quelli descritti nella descrizione del fabbisogno.</w:t>
      </w:r>
    </w:p>
    <w:p w14:paraId="169247FE"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4E0877C"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quali sono le variabili di offerta proposte per l’utilizzo dei servizi (es. licenze, servizio cloud, modalità di eventuale sostituzione della soluzione in essere, etc.)?</w:t>
      </w:r>
    </w:p>
    <w:p w14:paraId="34BA59F8"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6C1A423A"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w:t>
      </w:r>
      <w:proofErr w:type="gramStart"/>
      <w:r>
        <w:rPr>
          <w:rFonts w:ascii="Century Gothic" w:hAnsi="Century Gothic" w:cs="Courier New"/>
          <w:color w:val="1F497D" w:themeColor="text2"/>
          <w:sz w:val="24"/>
        </w:rPr>
        <w:t>caso  in</w:t>
      </w:r>
      <w:proofErr w:type="gramEnd"/>
      <w:r>
        <w:rPr>
          <w:rFonts w:ascii="Century Gothic" w:hAnsi="Century Gothic" w:cs="Courier New"/>
          <w:color w:val="1F497D" w:themeColor="text2"/>
          <w:sz w:val="24"/>
        </w:rPr>
        <w:t xml:space="preserve"> cui l’Azienda fosse interessata ad offrire soluzioni alternative, quali sono gli elementi che rappresentano i punti di forza dell’offerta ovvero costituiscono un limite alla partecipazione all’iniziativa in oggetto (es. costi ridotti, funzionalità/servizi aggiuntivi, etc.)?</w:t>
      </w:r>
    </w:p>
    <w:p w14:paraId="466BA1AF"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A267EBB"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si chiede di descrivere le componenti chiave dei costi dei servizi offerti (licenze, manutenzione annuale, assistenza specialistica, etc.), fornendo un range di costo stimato per le esigenze dell’Agenzia, comprensivo di tutte le attività necessarie per garantirsi la soluzione offerta un periodo contrattuale di 36 mesi. </w:t>
      </w:r>
    </w:p>
    <w:p w14:paraId="21D8A2B4"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0EE693E8"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3EC4EDD1" w14:textId="77777777" w:rsidR="00036B3F" w:rsidRPr="00036B3F"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00E106C5" w:rsidRPr="00E106C5">
        <w:rPr>
          <w:rFonts w:ascii="Century Gothic" w:hAnsi="Century Gothic" w:cs="Courier New"/>
          <w:color w:val="1F497D" w:themeColor="text2"/>
          <w:sz w:val="24"/>
        </w:rPr>
        <w:t>?</w:t>
      </w:r>
    </w:p>
    <w:p w14:paraId="23E45028"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8E3D139"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6DE1E26" w14:textId="77777777" w:rsidR="00443A83"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32375240"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F5B2ECE"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381F483D"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232316DE"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1430F9CC"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35EBD4F6"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3355B0A4"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79666428"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8"/>
      <w:footerReference w:type="default" r:id="rId19"/>
      <w:headerReference w:type="first" r:id="rId20"/>
      <w:footerReference w:type="first" r:id="rId21"/>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1D2BF" w14:textId="77777777" w:rsidR="00B15636" w:rsidRDefault="00B15636" w:rsidP="00881019">
      <w:pPr>
        <w:spacing w:after="0" w:line="240" w:lineRule="auto"/>
      </w:pPr>
      <w:r>
        <w:separator/>
      </w:r>
    </w:p>
  </w:endnote>
  <w:endnote w:type="continuationSeparator" w:id="0">
    <w:p w14:paraId="24C6E8BF" w14:textId="77777777" w:rsidR="00B15636" w:rsidRDefault="00B15636"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064322"/>
      <w:docPartObj>
        <w:docPartGallery w:val="Page Numbers (Bottom of Page)"/>
        <w:docPartUnique/>
      </w:docPartObj>
    </w:sdtPr>
    <w:sdtEndPr>
      <w:rPr>
        <w:rFonts w:ascii="Century Gothic" w:hAnsi="Century Gothic"/>
        <w:b/>
        <w:color w:val="1F497D" w:themeColor="text2"/>
      </w:rPr>
    </w:sdtEndPr>
    <w:sdtContent>
      <w:p w14:paraId="59C958C6"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578071E7" wp14:editId="759E96E3">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A0896DC"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00F78DA" wp14:editId="4C9C1CB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598A084"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5D0D19">
          <w:rPr>
            <w:rFonts w:ascii="Century Gothic" w:hAnsi="Century Gothic"/>
            <w:b/>
            <w:noProof/>
            <w:color w:val="1F497D" w:themeColor="text2"/>
          </w:rPr>
          <w:t>16</w:t>
        </w:r>
        <w:r w:rsidRPr="002875AF">
          <w:rPr>
            <w:rFonts w:ascii="Century Gothic" w:hAnsi="Century Gothic"/>
            <w:b/>
            <w:color w:val="1F497D" w:themeColor="text2"/>
          </w:rPr>
          <w:fldChar w:fldCharType="end"/>
        </w:r>
      </w:p>
    </w:sdtContent>
  </w:sdt>
  <w:p w14:paraId="1C5F8963"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A5B9" w14:textId="77777777" w:rsidR="009864D1" w:rsidRDefault="009864D1">
    <w:pPr>
      <w:pStyle w:val="Pidipagina"/>
      <w:jc w:val="right"/>
    </w:pPr>
  </w:p>
  <w:p w14:paraId="18F092E2" w14:textId="77777777" w:rsidR="009864D1" w:rsidRDefault="009864D1">
    <w:pPr>
      <w:pStyle w:val="Pidipagina"/>
      <w:jc w:val="right"/>
    </w:pPr>
  </w:p>
  <w:p w14:paraId="603FB86C"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18F5A274" wp14:editId="226607E5">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392DDB6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F46143F"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E837FF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5D100B9"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E157274"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F5A274"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392DDB62"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F46143F"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2E837FF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w:t>
                    </w:r>
                    <w:proofErr w:type="gramStart"/>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00142</w:t>
                    </w:r>
                    <w:proofErr w:type="gramEnd"/>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5D100B9"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E157274"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3F49A82B" wp14:editId="07C55A82">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498E8F8"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0792FCA7"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17748" w14:textId="77777777" w:rsidR="00B15636" w:rsidRDefault="00B15636" w:rsidP="00881019">
      <w:pPr>
        <w:spacing w:after="0" w:line="240" w:lineRule="auto"/>
      </w:pPr>
      <w:r>
        <w:separator/>
      </w:r>
    </w:p>
  </w:footnote>
  <w:footnote w:type="continuationSeparator" w:id="0">
    <w:p w14:paraId="5A20276A" w14:textId="77777777" w:rsidR="00B15636" w:rsidRDefault="00B15636"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BC3F3"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603EC396" wp14:editId="62E24C00">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36F1356"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1E8A752B" wp14:editId="40BDABF1">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457595EF"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477A14AB" wp14:editId="3177AEFA">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5DA9B"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1C073476" wp14:editId="5B745660">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369C8BD"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192293F8" wp14:editId="5E934491">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EEA44A2"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52BA66B6" wp14:editId="54032D81">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212E2896"/>
    <w:multiLevelType w:val="hybridMultilevel"/>
    <w:tmpl w:val="7EC247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7175E3A"/>
    <w:multiLevelType w:val="hybridMultilevel"/>
    <w:tmpl w:val="67688F0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7A11279C"/>
    <w:multiLevelType w:val="hybridMultilevel"/>
    <w:tmpl w:val="813A0F58"/>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8"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3"/>
  </w:num>
  <w:num w:numId="2">
    <w:abstractNumId w:val="6"/>
  </w:num>
  <w:num w:numId="3">
    <w:abstractNumId w:val="2"/>
  </w:num>
  <w:num w:numId="4">
    <w:abstractNumId w:val="0"/>
  </w:num>
  <w:num w:numId="5">
    <w:abstractNumId w:val="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E2"/>
    <w:rsid w:val="0003642B"/>
    <w:rsid w:val="00036B3F"/>
    <w:rsid w:val="000401B1"/>
    <w:rsid w:val="0004678F"/>
    <w:rsid w:val="00050813"/>
    <w:rsid w:val="000536DC"/>
    <w:rsid w:val="00060CA5"/>
    <w:rsid w:val="000702AF"/>
    <w:rsid w:val="000704CB"/>
    <w:rsid w:val="000705B6"/>
    <w:rsid w:val="000859EB"/>
    <w:rsid w:val="00093173"/>
    <w:rsid w:val="000B62CD"/>
    <w:rsid w:val="000C36E6"/>
    <w:rsid w:val="000F4A39"/>
    <w:rsid w:val="000F5AD6"/>
    <w:rsid w:val="000F69F1"/>
    <w:rsid w:val="00132D4F"/>
    <w:rsid w:val="00140028"/>
    <w:rsid w:val="001458FC"/>
    <w:rsid w:val="00150141"/>
    <w:rsid w:val="00154295"/>
    <w:rsid w:val="00162134"/>
    <w:rsid w:val="00172239"/>
    <w:rsid w:val="00181E99"/>
    <w:rsid w:val="00184519"/>
    <w:rsid w:val="00193F7D"/>
    <w:rsid w:val="0019602B"/>
    <w:rsid w:val="001A154C"/>
    <w:rsid w:val="001B237E"/>
    <w:rsid w:val="001F141B"/>
    <w:rsid w:val="00207CF5"/>
    <w:rsid w:val="0021032D"/>
    <w:rsid w:val="002113CD"/>
    <w:rsid w:val="00212D76"/>
    <w:rsid w:val="00222264"/>
    <w:rsid w:val="00244F2A"/>
    <w:rsid w:val="00246320"/>
    <w:rsid w:val="002543C3"/>
    <w:rsid w:val="0025471E"/>
    <w:rsid w:val="00262803"/>
    <w:rsid w:val="00265E26"/>
    <w:rsid w:val="002747F8"/>
    <w:rsid w:val="002827B4"/>
    <w:rsid w:val="002860DE"/>
    <w:rsid w:val="002875AF"/>
    <w:rsid w:val="002B2EDF"/>
    <w:rsid w:val="002B43B2"/>
    <w:rsid w:val="002C2423"/>
    <w:rsid w:val="002D1760"/>
    <w:rsid w:val="002E6221"/>
    <w:rsid w:val="002F37B8"/>
    <w:rsid w:val="002F5F75"/>
    <w:rsid w:val="003112C4"/>
    <w:rsid w:val="00333666"/>
    <w:rsid w:val="00352FE0"/>
    <w:rsid w:val="00353EB8"/>
    <w:rsid w:val="003616D4"/>
    <w:rsid w:val="00374A97"/>
    <w:rsid w:val="003775D3"/>
    <w:rsid w:val="00393BC8"/>
    <w:rsid w:val="003A26F8"/>
    <w:rsid w:val="003A7664"/>
    <w:rsid w:val="003B38F4"/>
    <w:rsid w:val="003D0768"/>
    <w:rsid w:val="003D6781"/>
    <w:rsid w:val="003E2C12"/>
    <w:rsid w:val="003F1A64"/>
    <w:rsid w:val="00411CE9"/>
    <w:rsid w:val="00411F35"/>
    <w:rsid w:val="00412888"/>
    <w:rsid w:val="004166EE"/>
    <w:rsid w:val="00440427"/>
    <w:rsid w:val="00443A83"/>
    <w:rsid w:val="00446AEC"/>
    <w:rsid w:val="00480EA6"/>
    <w:rsid w:val="00491751"/>
    <w:rsid w:val="00493B06"/>
    <w:rsid w:val="00494D0C"/>
    <w:rsid w:val="004A2E98"/>
    <w:rsid w:val="004A76CA"/>
    <w:rsid w:val="004D4DD5"/>
    <w:rsid w:val="004E65B1"/>
    <w:rsid w:val="004F6232"/>
    <w:rsid w:val="005050B7"/>
    <w:rsid w:val="005118F9"/>
    <w:rsid w:val="0051662D"/>
    <w:rsid w:val="005231F3"/>
    <w:rsid w:val="00541AA0"/>
    <w:rsid w:val="005428F6"/>
    <w:rsid w:val="00544CE6"/>
    <w:rsid w:val="005529A5"/>
    <w:rsid w:val="00576ABE"/>
    <w:rsid w:val="00584359"/>
    <w:rsid w:val="00593399"/>
    <w:rsid w:val="005A34F8"/>
    <w:rsid w:val="005A4C4C"/>
    <w:rsid w:val="005A7972"/>
    <w:rsid w:val="005C297D"/>
    <w:rsid w:val="005D0D19"/>
    <w:rsid w:val="005D3209"/>
    <w:rsid w:val="005E5A26"/>
    <w:rsid w:val="005F06FD"/>
    <w:rsid w:val="005F49F4"/>
    <w:rsid w:val="006165CC"/>
    <w:rsid w:val="006401D8"/>
    <w:rsid w:val="006477E0"/>
    <w:rsid w:val="00653D23"/>
    <w:rsid w:val="00666141"/>
    <w:rsid w:val="00674C74"/>
    <w:rsid w:val="00676703"/>
    <w:rsid w:val="006A65A7"/>
    <w:rsid w:val="006B3532"/>
    <w:rsid w:val="006C11C3"/>
    <w:rsid w:val="006C7B19"/>
    <w:rsid w:val="006F05F6"/>
    <w:rsid w:val="006F5A8B"/>
    <w:rsid w:val="006F658E"/>
    <w:rsid w:val="0070009C"/>
    <w:rsid w:val="0070154C"/>
    <w:rsid w:val="00701F0C"/>
    <w:rsid w:val="00716A73"/>
    <w:rsid w:val="007328AC"/>
    <w:rsid w:val="00741FB6"/>
    <w:rsid w:val="0074447D"/>
    <w:rsid w:val="00751619"/>
    <w:rsid w:val="00757581"/>
    <w:rsid w:val="00764934"/>
    <w:rsid w:val="00767F55"/>
    <w:rsid w:val="00775A17"/>
    <w:rsid w:val="007771EB"/>
    <w:rsid w:val="00783432"/>
    <w:rsid w:val="00784DAE"/>
    <w:rsid w:val="00784DF3"/>
    <w:rsid w:val="00791D98"/>
    <w:rsid w:val="007A749E"/>
    <w:rsid w:val="007B5340"/>
    <w:rsid w:val="007C6441"/>
    <w:rsid w:val="007D6A82"/>
    <w:rsid w:val="007D6B0C"/>
    <w:rsid w:val="007E6CC8"/>
    <w:rsid w:val="008077A2"/>
    <w:rsid w:val="008363A1"/>
    <w:rsid w:val="00856EEC"/>
    <w:rsid w:val="00862E5A"/>
    <w:rsid w:val="00880AAA"/>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37A92"/>
    <w:rsid w:val="00942C9A"/>
    <w:rsid w:val="0096058B"/>
    <w:rsid w:val="00981791"/>
    <w:rsid w:val="009861C3"/>
    <w:rsid w:val="009864D1"/>
    <w:rsid w:val="00990F33"/>
    <w:rsid w:val="00991836"/>
    <w:rsid w:val="009B4B5C"/>
    <w:rsid w:val="009B7AAB"/>
    <w:rsid w:val="009C684E"/>
    <w:rsid w:val="009F0FB8"/>
    <w:rsid w:val="009F3AD8"/>
    <w:rsid w:val="009F7B7C"/>
    <w:rsid w:val="00A02262"/>
    <w:rsid w:val="00A24DE9"/>
    <w:rsid w:val="00A2761C"/>
    <w:rsid w:val="00A32932"/>
    <w:rsid w:val="00A423A1"/>
    <w:rsid w:val="00A44210"/>
    <w:rsid w:val="00A70AEF"/>
    <w:rsid w:val="00A757A0"/>
    <w:rsid w:val="00A75D1E"/>
    <w:rsid w:val="00A93EE3"/>
    <w:rsid w:val="00A95111"/>
    <w:rsid w:val="00AA39A0"/>
    <w:rsid w:val="00AC1A19"/>
    <w:rsid w:val="00AD51A6"/>
    <w:rsid w:val="00AE3140"/>
    <w:rsid w:val="00AF2EEB"/>
    <w:rsid w:val="00B03874"/>
    <w:rsid w:val="00B15636"/>
    <w:rsid w:val="00B2240C"/>
    <w:rsid w:val="00B24594"/>
    <w:rsid w:val="00B31E98"/>
    <w:rsid w:val="00B361F6"/>
    <w:rsid w:val="00B3670C"/>
    <w:rsid w:val="00B41E8E"/>
    <w:rsid w:val="00B44674"/>
    <w:rsid w:val="00B52D9B"/>
    <w:rsid w:val="00B83CFD"/>
    <w:rsid w:val="00B87EDB"/>
    <w:rsid w:val="00BA0343"/>
    <w:rsid w:val="00BA30F5"/>
    <w:rsid w:val="00BB0AC2"/>
    <w:rsid w:val="00BB1448"/>
    <w:rsid w:val="00BB6553"/>
    <w:rsid w:val="00BC5B8D"/>
    <w:rsid w:val="00BC7C0B"/>
    <w:rsid w:val="00BD0AC2"/>
    <w:rsid w:val="00BD6DE9"/>
    <w:rsid w:val="00BE3E92"/>
    <w:rsid w:val="00BF67EA"/>
    <w:rsid w:val="00C10442"/>
    <w:rsid w:val="00C11244"/>
    <w:rsid w:val="00C1762F"/>
    <w:rsid w:val="00C263FB"/>
    <w:rsid w:val="00C3441C"/>
    <w:rsid w:val="00C52EDF"/>
    <w:rsid w:val="00C81E70"/>
    <w:rsid w:val="00CA6F61"/>
    <w:rsid w:val="00CB70A4"/>
    <w:rsid w:val="00CB77D5"/>
    <w:rsid w:val="00CC3D6F"/>
    <w:rsid w:val="00CD052A"/>
    <w:rsid w:val="00CE35EA"/>
    <w:rsid w:val="00D05371"/>
    <w:rsid w:val="00D17BDA"/>
    <w:rsid w:val="00D23C70"/>
    <w:rsid w:val="00D32465"/>
    <w:rsid w:val="00D439DA"/>
    <w:rsid w:val="00D505E8"/>
    <w:rsid w:val="00D5453A"/>
    <w:rsid w:val="00D77849"/>
    <w:rsid w:val="00D921C1"/>
    <w:rsid w:val="00DA2AF8"/>
    <w:rsid w:val="00DB57B8"/>
    <w:rsid w:val="00DC42C3"/>
    <w:rsid w:val="00DD36F1"/>
    <w:rsid w:val="00DD3AE5"/>
    <w:rsid w:val="00DD59FF"/>
    <w:rsid w:val="00DF0F2C"/>
    <w:rsid w:val="00DF5B74"/>
    <w:rsid w:val="00E04444"/>
    <w:rsid w:val="00E05668"/>
    <w:rsid w:val="00E1046C"/>
    <w:rsid w:val="00E106C5"/>
    <w:rsid w:val="00E22243"/>
    <w:rsid w:val="00E35C43"/>
    <w:rsid w:val="00E36C54"/>
    <w:rsid w:val="00E36D5D"/>
    <w:rsid w:val="00E3784D"/>
    <w:rsid w:val="00E41322"/>
    <w:rsid w:val="00E554A1"/>
    <w:rsid w:val="00E628E2"/>
    <w:rsid w:val="00E8666F"/>
    <w:rsid w:val="00E9714B"/>
    <w:rsid w:val="00EA53AF"/>
    <w:rsid w:val="00ED0815"/>
    <w:rsid w:val="00ED5841"/>
    <w:rsid w:val="00EE3420"/>
    <w:rsid w:val="00F139DB"/>
    <w:rsid w:val="00F16DFA"/>
    <w:rsid w:val="00F265F7"/>
    <w:rsid w:val="00F31D90"/>
    <w:rsid w:val="00F333AB"/>
    <w:rsid w:val="00F37501"/>
    <w:rsid w:val="00F421D4"/>
    <w:rsid w:val="00F466AC"/>
    <w:rsid w:val="00F528EE"/>
    <w:rsid w:val="00F55C4E"/>
    <w:rsid w:val="00F65F6A"/>
    <w:rsid w:val="00F66170"/>
    <w:rsid w:val="00F810C2"/>
    <w:rsid w:val="00F853D2"/>
    <w:rsid w:val="00F8645B"/>
    <w:rsid w:val="00F96092"/>
    <w:rsid w:val="00F97E1F"/>
    <w:rsid w:val="00FA39BA"/>
    <w:rsid w:val="00FA6B95"/>
    <w:rsid w:val="00FB3885"/>
    <w:rsid w:val="00FB60CA"/>
    <w:rsid w:val="00FC3463"/>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D39FB"/>
  <w15:docId w15:val="{DB3F96B6-FC09-4AE0-9A64-B1A62ACA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
    <w:basedOn w:val="Normale"/>
    <w:link w:val="ParagrafoelencoCarattere"/>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Elencochiaro-Colore11">
    <w:name w:val="Elenco chiaro - Colore 11"/>
    <w:basedOn w:val="Tabellanormale"/>
    <w:uiPriority w:val="61"/>
    <w:rsid w:val="006F5A8B"/>
    <w:pPr>
      <w:spacing w:after="0" w:line="240" w:lineRule="auto"/>
    </w:pPr>
    <w:rPr>
      <w:rFonts w:eastAsiaTheme="minorEastAsia"/>
      <w:lang w:eastAsia="it-I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rsid w:val="006F5A8B"/>
  </w:style>
  <w:style w:type="paragraph" w:styleId="Revisione">
    <w:name w:val="Revision"/>
    <w:hidden/>
    <w:uiPriority w:val="99"/>
    <w:semiHidden/>
    <w:rsid w:val="00F65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27CC0-987C-4F3F-871D-29BF125A4A2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4fc7d786-1831-4f89-a212-a304f6a3d91b"/>
    <ds:schemaRef ds:uri="http://purl.org/dc/terms/"/>
    <ds:schemaRef ds:uri="http://schemas.openxmlformats.org/package/2006/metadata/core-properties"/>
    <ds:schemaRef ds:uri="4fc2d241-3083-4529-b0a6-262ec50760ed"/>
    <ds:schemaRef ds:uri="http://www.w3.org/XML/1998/namespace"/>
    <ds:schemaRef ds:uri="http://purl.org/dc/dcmitype/"/>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997E4D5F-F856-4E20-996C-3B3ED9B8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3101</Words>
  <Characters>17682</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4</cp:revision>
  <cp:lastPrinted>2018-08-28T06:17:00Z</cp:lastPrinted>
  <dcterms:created xsi:type="dcterms:W3CDTF">2019-06-04T16:05:00Z</dcterms:created>
  <dcterms:modified xsi:type="dcterms:W3CDTF">2019-06-04T16:07:00Z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