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7849" w:rsidRPr="004D484E" w:rsidRDefault="00AA39A0" w:rsidP="00E106C5">
      <w:pPr>
        <w:tabs>
          <w:tab w:val="left" w:pos="1701"/>
        </w:tabs>
        <w:spacing w:before="120"/>
        <w:ind w:left="567" w:right="565"/>
        <w:jc w:val="both"/>
        <w:rPr>
          <w:rFonts w:ascii="Century Gothic" w:hAnsi="Century Gothic"/>
          <w:sz w:val="20"/>
          <w:szCs w:val="20"/>
        </w:rPr>
      </w:pPr>
      <w:r w:rsidRPr="004D484E">
        <w:rPr>
          <w:rFonts w:ascii="Century Gothic" w:hAnsi="Century Gothic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F3B416" wp14:editId="60508E53">
                <wp:simplePos x="0" y="0"/>
                <wp:positionH relativeFrom="column">
                  <wp:posOffset>-2964815</wp:posOffset>
                </wp:positionH>
                <wp:positionV relativeFrom="paragraph">
                  <wp:posOffset>52705</wp:posOffset>
                </wp:positionV>
                <wp:extent cx="561975" cy="0"/>
                <wp:effectExtent l="38100" t="38100" r="66675" b="9525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3.45pt,4.15pt" to="-189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" strokecolor="#a5a5a5 [2092]" strokeweight="2pt">
                <v:shadow on="t" color="black" opacity="24903f" origin=",.5" offset="0,.55556mm"/>
              </v:line>
            </w:pict>
          </mc:Fallback>
        </mc:AlternateContent>
      </w:r>
    </w:p>
    <w:p w:rsidR="00B41E8E" w:rsidRPr="00052599" w:rsidRDefault="00B41E8E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i/>
          <w:color w:val="1F497D" w:themeColor="text2"/>
          <w:sz w:val="36"/>
          <w:szCs w:val="36"/>
        </w:rPr>
      </w:pPr>
      <w:r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 xml:space="preserve">Consultazione preliminare di mercato </w:t>
      </w:r>
      <w:r w:rsidR="00FB60CA"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>per</w:t>
      </w:r>
      <w:r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 xml:space="preserve"> </w:t>
      </w:r>
      <w:r w:rsidR="00FB60CA"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>l’affidamento</w:t>
      </w:r>
      <w:r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 xml:space="preserve"> </w:t>
      </w:r>
      <w:r w:rsidR="00FB60CA"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>dei</w:t>
      </w:r>
      <w:r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 xml:space="preserve"> </w:t>
      </w:r>
      <w:r w:rsidR="00FB60CA"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 xml:space="preserve">servizi </w:t>
      </w:r>
      <w:r w:rsidR="00E106C5"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 xml:space="preserve">di </w:t>
      </w:r>
      <w:r w:rsidR="00663EA8" w:rsidRPr="00052599">
        <w:rPr>
          <w:rFonts w:ascii="Century Gothic" w:hAnsi="Century Gothic" w:cs="Courier New"/>
          <w:b/>
          <w:color w:val="1F497D" w:themeColor="text2"/>
          <w:sz w:val="36"/>
          <w:szCs w:val="36"/>
        </w:rPr>
        <w:t>tesoreria</w:t>
      </w: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Documento di Consultazione preliminare del Mercato ai sensi dell’art.66 comma 1 del D. Lgs 50/2016</w:t>
      </w: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9C0D81" w:rsidRPr="00052599" w:rsidRDefault="009C0D81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9C0D81" w:rsidRPr="00052599" w:rsidRDefault="009C0D81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990F33" w:rsidRPr="00052599" w:rsidRDefault="00990F33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Agenzia delle </w:t>
      </w:r>
      <w:r w:rsidR="00FB60CA"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entrate-</w:t>
      </w: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Riscossione</w:t>
      </w:r>
    </w:p>
    <w:p w:rsidR="00990F33" w:rsidRPr="00052599" w:rsidRDefault="00990F33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Via G. Grezar 14</w:t>
      </w:r>
    </w:p>
    <w:p w:rsidR="00990F33" w:rsidRPr="00052599" w:rsidRDefault="00990F33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00142 Roma</w:t>
      </w:r>
    </w:p>
    <w:p w:rsidR="00990F33" w:rsidRPr="00052599" w:rsidRDefault="006C4AB3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</w:pPr>
      <w:hyperlink r:id="rId12" w:history="1">
        <w:r w:rsidR="009C0D81" w:rsidRPr="00052599">
          <w:rPr>
            <w:rStyle w:val="Collegamentoipertestuale"/>
            <w:rFonts w:ascii="Century Gothic" w:hAnsi="Century Gothic" w:cs="Courier New"/>
            <w:b/>
            <w:bCs/>
            <w:sz w:val="20"/>
            <w:szCs w:val="20"/>
          </w:rPr>
          <w:t>pianif.acquisti.monit.contratti@pec.agenziariscossione.gov.it</w:t>
        </w:r>
      </w:hyperlink>
    </w:p>
    <w:p w:rsidR="009C0D81" w:rsidRPr="00052599" w:rsidRDefault="009C0D81" w:rsidP="00E106C5">
      <w:pPr>
        <w:spacing w:after="0" w:line="24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br w:type="page"/>
      </w: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lastRenderedPageBreak/>
        <w:t>PREMESSA</w:t>
      </w: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Il presente documento di consultazione del mercato ha l’obiettivo di: </w:t>
      </w:r>
    </w:p>
    <w:p w:rsidR="00990F33" w:rsidRPr="00052599" w:rsidRDefault="00990F33" w:rsidP="009C0D81">
      <w:pPr>
        <w:pStyle w:val="Paragrafoelenco"/>
        <w:numPr>
          <w:ilvl w:val="0"/>
          <w:numId w:val="31"/>
        </w:numPr>
        <w:tabs>
          <w:tab w:val="num" w:pos="360"/>
        </w:tabs>
        <w:spacing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garantire la massima pubblicità alle iniziative per assicurare la più ampia diffusione delle informazioni; </w:t>
      </w:r>
    </w:p>
    <w:p w:rsidR="00990F33" w:rsidRPr="00052599" w:rsidRDefault="00990F33" w:rsidP="009C0D81">
      <w:pPr>
        <w:pStyle w:val="Paragrafoelenco"/>
        <w:numPr>
          <w:ilvl w:val="0"/>
          <w:numId w:val="31"/>
        </w:numPr>
        <w:tabs>
          <w:tab w:val="num" w:pos="360"/>
        </w:tabs>
        <w:spacing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ottenere la più proficua partecipazione da parte dei soggetti interessati;</w:t>
      </w:r>
    </w:p>
    <w:p w:rsidR="00990F33" w:rsidRPr="00052599" w:rsidRDefault="00990F33" w:rsidP="009C0D81">
      <w:pPr>
        <w:pStyle w:val="Paragrafoelenco"/>
        <w:numPr>
          <w:ilvl w:val="0"/>
          <w:numId w:val="31"/>
        </w:numPr>
        <w:tabs>
          <w:tab w:val="num" w:pos="360"/>
        </w:tabs>
        <w:spacing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pubblicizzare al meglio le caratteristiche qualitative e tecniche dei beni e servizi oggetto di analisi;</w:t>
      </w:r>
    </w:p>
    <w:p w:rsidR="00990F33" w:rsidRPr="00052599" w:rsidRDefault="00990F33" w:rsidP="009C0D81">
      <w:pPr>
        <w:pStyle w:val="Paragrafoelenco"/>
        <w:numPr>
          <w:ilvl w:val="0"/>
          <w:numId w:val="31"/>
        </w:numPr>
        <w:tabs>
          <w:tab w:val="num" w:pos="360"/>
        </w:tabs>
        <w:spacing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ricevere, da parte dei soggetti interessati, osservazioni e suggerimenti per una più compiuta conoscenza del mercato.</w:t>
      </w:r>
    </w:p>
    <w:p w:rsidR="009347AE" w:rsidRPr="00052599" w:rsidRDefault="00990F33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In merito all’iniziativa oggetto della presente consultazione del mercato, Vi preghiamo di fornire il Vostro contributo - previa presa visione dell’informativa sul trattamento dei dati personali sotto riportata - compilando il presente questionario e inviandolo entro </w:t>
      </w:r>
      <w:r w:rsidR="007E50DC">
        <w:rPr>
          <w:rFonts w:ascii="Century Gothic" w:hAnsi="Century Gothic" w:cs="Courier New"/>
          <w:b/>
          <w:color w:val="1F497D" w:themeColor="text2"/>
          <w:sz w:val="20"/>
          <w:szCs w:val="20"/>
        </w:rPr>
        <w:t>50</w:t>
      </w:r>
      <w:r w:rsidR="00826204"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(</w:t>
      </w:r>
      <w:r w:rsidR="007E50DC">
        <w:rPr>
          <w:rFonts w:ascii="Century Gothic" w:hAnsi="Century Gothic" w:cs="Courier New"/>
          <w:b/>
          <w:color w:val="1F497D" w:themeColor="text2"/>
          <w:sz w:val="20"/>
          <w:szCs w:val="20"/>
        </w:rPr>
        <w:t>cinquanta</w:t>
      </w: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) giorni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dalla data di pubblicazione sotto riportata all’indirizzo PEC </w:t>
      </w:r>
    </w:p>
    <w:p w:rsidR="00990F33" w:rsidRDefault="006C4AB3" w:rsidP="00826204">
      <w:pPr>
        <w:ind w:left="567" w:right="565" w:firstLine="567"/>
        <w:jc w:val="center"/>
        <w:rPr>
          <w:rFonts w:ascii="Century Gothic" w:hAnsi="Century Gothic" w:cs="Courier New"/>
          <w:b/>
          <w:color w:val="1F497D" w:themeColor="text2"/>
          <w:sz w:val="20"/>
          <w:szCs w:val="20"/>
        </w:rPr>
      </w:pPr>
      <w:hyperlink r:id="rId13" w:history="1">
        <w:r w:rsidR="00826204" w:rsidRPr="00427B9D">
          <w:rPr>
            <w:rStyle w:val="Collegamentoipertestuale"/>
            <w:rFonts w:ascii="Century Gothic" w:hAnsi="Century Gothic" w:cs="Courier New"/>
            <w:b/>
            <w:sz w:val="20"/>
            <w:szCs w:val="20"/>
          </w:rPr>
          <w:t>pianif.acquisti.monit.contratti@pec.agenziariscossione.gov.it</w:t>
        </w:r>
      </w:hyperlink>
      <w:r w:rsidR="00412888"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.</w:t>
      </w:r>
    </w:p>
    <w:p w:rsidR="00990F33" w:rsidRPr="00052599" w:rsidRDefault="00990F33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Tutte le informazioni da Voi fornite con il presente documento saranno utilizzate ai soli fini dello sviluppo dell’iniziativa in oggetto.</w:t>
      </w:r>
    </w:p>
    <w:p w:rsidR="00990F33" w:rsidRPr="00052599" w:rsidRDefault="00E628E2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Agenzia delle </w:t>
      </w:r>
      <w:r w:rsidR="00FB60CA" w:rsidRPr="00052599">
        <w:rPr>
          <w:rFonts w:ascii="Century Gothic" w:hAnsi="Century Gothic" w:cs="Courier New"/>
          <w:color w:val="1F497D" w:themeColor="text2"/>
          <w:sz w:val="20"/>
          <w:szCs w:val="20"/>
        </w:rPr>
        <w:t>entrate-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Riscossione</w:t>
      </w:r>
      <w:r w:rsidR="00990F33" w:rsidRPr="00052599">
        <w:rPr>
          <w:rFonts w:ascii="Century Gothic" w:hAnsi="Century Gothic" w:cs="Courier New"/>
          <w:color w:val="1F497D" w:themeColor="text2"/>
          <w:sz w:val="20"/>
          <w:szCs w:val="20"/>
        </w:rPr>
        <w:t>, salvo quanto di seguito previsto in materia di trattamento dei dati personali, si impegna a non divulgare a terzi le informazioni raccolte con il presente documento.</w:t>
      </w: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</w:pPr>
    </w:p>
    <w:p w:rsidR="00990F33" w:rsidRPr="00052599" w:rsidRDefault="00990F33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Roma, </w:t>
      </w:r>
      <w:r w:rsidR="00D67C87" w:rsidRPr="00D67C87">
        <w:rPr>
          <w:rFonts w:ascii="Century Gothic" w:hAnsi="Century Gothic" w:cs="Courier New"/>
          <w:b/>
          <w:color w:val="1F497D" w:themeColor="text2"/>
          <w:sz w:val="20"/>
          <w:szCs w:val="20"/>
        </w:rPr>
        <w:t>02</w:t>
      </w:r>
      <w:r w:rsidR="00FB60CA" w:rsidRPr="00D67C87">
        <w:rPr>
          <w:rFonts w:ascii="Century Gothic" w:hAnsi="Century Gothic" w:cs="Courier New"/>
          <w:b/>
          <w:color w:val="1F497D" w:themeColor="text2"/>
          <w:sz w:val="20"/>
          <w:szCs w:val="20"/>
        </w:rPr>
        <w:t>/</w:t>
      </w:r>
      <w:r w:rsidR="00826204" w:rsidRPr="00D67C87">
        <w:rPr>
          <w:rFonts w:ascii="Century Gothic" w:hAnsi="Century Gothic" w:cs="Courier New"/>
          <w:b/>
          <w:color w:val="1F497D" w:themeColor="text2"/>
          <w:sz w:val="20"/>
          <w:szCs w:val="20"/>
        </w:rPr>
        <w:t>1</w:t>
      </w:r>
      <w:r w:rsidR="00D07F1B">
        <w:rPr>
          <w:rFonts w:ascii="Century Gothic" w:hAnsi="Century Gothic" w:cs="Courier New"/>
          <w:b/>
          <w:color w:val="1F497D" w:themeColor="text2"/>
          <w:sz w:val="20"/>
          <w:szCs w:val="20"/>
        </w:rPr>
        <w:t>1</w:t>
      </w:r>
      <w:r w:rsidRPr="00D67C87">
        <w:rPr>
          <w:rFonts w:ascii="Century Gothic" w:hAnsi="Century Gothic" w:cs="Courier New"/>
          <w:b/>
          <w:color w:val="1F497D" w:themeColor="text2"/>
          <w:sz w:val="20"/>
          <w:szCs w:val="20"/>
        </w:rPr>
        <w:t>/2017</w:t>
      </w:r>
    </w:p>
    <w:p w:rsidR="00E628E2" w:rsidRPr="00052599" w:rsidRDefault="00E628E2" w:rsidP="00E106C5">
      <w:pPr>
        <w:ind w:left="567" w:right="565"/>
        <w:jc w:val="both"/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  <w:br w:type="page"/>
      </w:r>
    </w:p>
    <w:p w:rsidR="00E628E2" w:rsidRPr="00052599" w:rsidRDefault="00E628E2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lastRenderedPageBreak/>
        <w:t>Dati Azienda</w:t>
      </w:r>
    </w:p>
    <w:tbl>
      <w:tblPr>
        <w:tblW w:w="8222" w:type="dxa"/>
        <w:tblInd w:w="637" w:type="dxa"/>
        <w:tblBorders>
          <w:top w:val="single" w:sz="2" w:space="0" w:color="000080"/>
          <w:bottom w:val="single" w:sz="2" w:space="0" w:color="000080"/>
          <w:insideH w:val="single" w:sz="2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3686"/>
      </w:tblGrid>
      <w:tr w:rsidR="00E628E2" w:rsidRPr="00052599" w:rsidTr="00FB60CA">
        <w:tc>
          <w:tcPr>
            <w:tcW w:w="4536" w:type="dxa"/>
            <w:vAlign w:val="center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>Azienda</w:t>
            </w:r>
          </w:p>
        </w:tc>
        <w:tc>
          <w:tcPr>
            <w:tcW w:w="3686" w:type="dxa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  <w:tr w:rsidR="00E628E2" w:rsidRPr="00052599" w:rsidTr="00FB60CA">
        <w:tc>
          <w:tcPr>
            <w:tcW w:w="4536" w:type="dxa"/>
            <w:vAlign w:val="center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 xml:space="preserve">Indirizzo </w:t>
            </w:r>
          </w:p>
        </w:tc>
        <w:tc>
          <w:tcPr>
            <w:tcW w:w="3686" w:type="dxa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  <w:tr w:rsidR="00E628E2" w:rsidRPr="00052599" w:rsidTr="00FB60CA">
        <w:tc>
          <w:tcPr>
            <w:tcW w:w="4536" w:type="dxa"/>
            <w:vAlign w:val="center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>Nome e Cognome del referente</w:t>
            </w:r>
          </w:p>
        </w:tc>
        <w:tc>
          <w:tcPr>
            <w:tcW w:w="3686" w:type="dxa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  <w:tr w:rsidR="00E628E2" w:rsidRPr="00052599" w:rsidTr="00FB60CA">
        <w:tc>
          <w:tcPr>
            <w:tcW w:w="4536" w:type="dxa"/>
            <w:vAlign w:val="center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>Ruolo in azienda</w:t>
            </w:r>
          </w:p>
        </w:tc>
        <w:tc>
          <w:tcPr>
            <w:tcW w:w="3686" w:type="dxa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  <w:tr w:rsidR="00E628E2" w:rsidRPr="00052599" w:rsidTr="00FB60CA">
        <w:tc>
          <w:tcPr>
            <w:tcW w:w="4536" w:type="dxa"/>
            <w:vAlign w:val="center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 xml:space="preserve">Telefono </w:t>
            </w:r>
          </w:p>
        </w:tc>
        <w:tc>
          <w:tcPr>
            <w:tcW w:w="3686" w:type="dxa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  <w:tr w:rsidR="00E628E2" w:rsidRPr="00052599" w:rsidTr="00FB60CA">
        <w:tc>
          <w:tcPr>
            <w:tcW w:w="4536" w:type="dxa"/>
            <w:vAlign w:val="center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>Fax</w:t>
            </w:r>
          </w:p>
        </w:tc>
        <w:tc>
          <w:tcPr>
            <w:tcW w:w="3686" w:type="dxa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  <w:tr w:rsidR="00E628E2" w:rsidRPr="00052599" w:rsidTr="00FB60CA">
        <w:tc>
          <w:tcPr>
            <w:tcW w:w="4536" w:type="dxa"/>
            <w:vAlign w:val="center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>Indirizzo e-mail</w:t>
            </w:r>
          </w:p>
        </w:tc>
        <w:tc>
          <w:tcPr>
            <w:tcW w:w="3686" w:type="dxa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  <w:tr w:rsidR="00E628E2" w:rsidRPr="00052599" w:rsidTr="00FB60CA">
        <w:tc>
          <w:tcPr>
            <w:tcW w:w="4536" w:type="dxa"/>
            <w:vAlign w:val="center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  <w:t>Data di compilazione</w:t>
            </w:r>
          </w:p>
        </w:tc>
        <w:tc>
          <w:tcPr>
            <w:tcW w:w="3686" w:type="dxa"/>
          </w:tcPr>
          <w:p w:rsidR="00E628E2" w:rsidRPr="00052599" w:rsidRDefault="00E628E2" w:rsidP="00E106C5">
            <w:pPr>
              <w:ind w:left="567" w:right="565"/>
              <w:jc w:val="both"/>
              <w:rPr>
                <w:rFonts w:ascii="Century Gothic" w:hAnsi="Century Gothic" w:cs="Courier New"/>
                <w:color w:val="1F497D" w:themeColor="text2"/>
                <w:sz w:val="20"/>
                <w:szCs w:val="20"/>
              </w:rPr>
            </w:pPr>
          </w:p>
        </w:tc>
      </w:tr>
    </w:tbl>
    <w:p w:rsidR="00E628E2" w:rsidRPr="00052599" w:rsidRDefault="00E628E2" w:rsidP="00E106C5">
      <w:pPr>
        <w:ind w:left="567" w:right="565"/>
        <w:jc w:val="both"/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</w:pPr>
    </w:p>
    <w:p w:rsidR="00E628E2" w:rsidRPr="00052599" w:rsidRDefault="00E628E2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Informativa sul trattamento dei dati personali</w:t>
      </w:r>
      <w:r w:rsidR="000B62C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0B62CD"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ai sensi dell'art. 13 del D. Lgs. n. 196/2003 “Codice in materia di protezione dei dati personali” </w:t>
      </w:r>
    </w:p>
    <w:p w:rsidR="00BF67EA" w:rsidRPr="00052599" w:rsidRDefault="00BF67EA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Agenzia delle entrate-Riscossione</w:t>
      </w:r>
      <w:r w:rsidR="00E22243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nella sua qualità di Titolare del trattamento, provvede alla raccolta ed al trattamento dei dati personali </w:t>
      </w:r>
      <w:r w:rsidR="000B62C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forniti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mediante la compilazione del presente</w:t>
      </w:r>
      <w:r w:rsidR="00CB77D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documento di consultazione di mercato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:rsidR="00BF67EA" w:rsidRPr="00052599" w:rsidRDefault="00BF67EA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La raccolta ed il trattamento dei </w:t>
      </w:r>
      <w:r w:rsidR="000B62C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predetti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dati personali sono effettuati al fine di consentire ad Agenzia delle entrate-Riscossione di condurre le attività connesse alla consultazione </w:t>
      </w:r>
      <w:r w:rsidR="007328AC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preliminare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 mercato. </w:t>
      </w:r>
    </w:p>
    <w:p w:rsidR="00CB77D5" w:rsidRPr="00052599" w:rsidRDefault="00446AEC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Il conferimento dei dati 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in questione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è</w:t>
      </w:r>
      <w:r w:rsidR="00C1044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>facoltativo</w:t>
      </w:r>
      <w:r w:rsidR="000306E4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. </w:t>
      </w:r>
      <w:r w:rsidR="00BF67EA" w:rsidRPr="00052599">
        <w:rPr>
          <w:rFonts w:ascii="Century Gothic" w:hAnsi="Century Gothic" w:cs="Courier New"/>
          <w:color w:val="1F497D" w:themeColor="text2"/>
          <w:sz w:val="20"/>
          <w:szCs w:val="20"/>
        </w:rPr>
        <w:t>I dati conferiti saranno trattati mediante l’ausilio di strumenti elettronici, telematici e manuali, con logiche strettamente correlate alla predetta finalità e comunque in modo da garantirne la sicurezza e la riservatezza, nel rispetto delle previsioni di cui all’art. 11 del</w:t>
      </w:r>
      <w:r w:rsidR="00BC7C0B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D. Lgs. n. 196/2003</w:t>
      </w:r>
      <w:r w:rsidR="00BF67EA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. </w:t>
      </w:r>
    </w:p>
    <w:p w:rsidR="00CB77D5" w:rsidRPr="00052599" w:rsidRDefault="00CB77D5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 dati personali non possono essere oggetto di diffusione, tuttavia, se necessario per le finalità di cui sopra, possono essere comunicati: </w:t>
      </w:r>
    </w:p>
    <w:p w:rsidR="00CB77D5" w:rsidRPr="00052599" w:rsidRDefault="00CB77D5" w:rsidP="00E106C5">
      <w:pPr>
        <w:pStyle w:val="Paragrafoelenco"/>
        <w:numPr>
          <w:ilvl w:val="0"/>
          <w:numId w:val="25"/>
        </w:numPr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ai soggetti a cui la comunicazione dei dati debba essere effettuata in adempimento di un obbligo previsto dalla legge, da un regolamento o dalla normativa comunitaria, nonché da convenzioni in materia di riscossione; </w:t>
      </w:r>
    </w:p>
    <w:p w:rsidR="00CB77D5" w:rsidRPr="00052599" w:rsidRDefault="00CB77D5" w:rsidP="00E106C5">
      <w:pPr>
        <w:pStyle w:val="Paragrafoelenco"/>
        <w:numPr>
          <w:ilvl w:val="0"/>
          <w:numId w:val="25"/>
        </w:numPr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ai soggetti designati dai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Titolari, in qualità di Responsabili esterni ovvero interni e di Incaricati del trattamento.</w:t>
      </w:r>
    </w:p>
    <w:p w:rsidR="00CB77D5" w:rsidRPr="00052599" w:rsidRDefault="00BF67EA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Nell’ambito dei diritti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cui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all'art. 7</w:t>
      </w:r>
      <w:r w:rsidR="00CB77D5" w:rsidRPr="00052599">
        <w:rPr>
          <w:rFonts w:ascii="Century Gothic" w:hAnsi="Century Gothic" w:cs="Courier New"/>
          <w:color w:val="1F497D" w:themeColor="text2"/>
          <w:sz w:val="20"/>
          <w:szCs w:val="20"/>
          <w:vertAlign w:val="superscript"/>
        </w:rPr>
        <w:footnoteReference w:id="1"/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del 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>D. Lgs. n. 196/2003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1044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l’interessato ha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il diritto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ottenere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in qualunque momento, la conferma dell'esistenza di dati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lastRenderedPageBreak/>
        <w:t xml:space="preserve">personali che </w:t>
      </w:r>
      <w:r w:rsidR="00C1044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lo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riguardano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e la loro comunicazione in forma intelligibile, nonché </w:t>
      </w:r>
      <w:r w:rsidR="00A75D1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acquisire indicazione delle finalità e modalità del trattamento ovvero della logica applicata in caso di trattamento effettuato con l’ausilio di strumenti elettronici.</w:t>
      </w:r>
    </w:p>
    <w:p w:rsidR="00A75D1E" w:rsidRPr="00052599" w:rsidRDefault="00CB77D5" w:rsidP="00E106C5">
      <w:pPr>
        <w:ind w:left="567" w:right="565"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Tali richieste, corredate da copia di idoneo e valido documento di riconoscimento, possono essere inoltrate ad Agenzia delle entrate-Riscossione, Responsabile pro-tempore Settore Legale e Contenzioso, via Giuseppe Grezar, 14 - 00142 Roma oppure all'indirizzo di posta elettronica: </w:t>
      </w:r>
      <w:hyperlink r:id="rId14" w:history="1">
        <w:r w:rsidRPr="00052599">
          <w:rPr>
            <w:rFonts w:ascii="Century Gothic" w:hAnsi="Century Gothic" w:cs="Courier New"/>
            <w:color w:val="1F497D" w:themeColor="text2"/>
            <w:sz w:val="20"/>
            <w:szCs w:val="20"/>
          </w:rPr>
          <w:t>privacy@agenziariscossione.gov.it</w:t>
        </w:r>
      </w:hyperlink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. </w:t>
      </w:r>
    </w:p>
    <w:p w:rsidR="000B62CD" w:rsidRPr="00052599" w:rsidRDefault="00A75D1E" w:rsidP="00E106C5">
      <w:pPr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Si d</w:t>
      </w:r>
      <w:r w:rsidR="000B62C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ichiara di aver preso visione dell’informativa sul trattamento dei dati personali conferiti </w:t>
      </w:r>
      <w:r w:rsidR="00207CF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mediante la compilazione del presente documento </w:t>
      </w:r>
      <w:r w:rsidR="000B62C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e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si autorizza il trattamento dei </w:t>
      </w:r>
      <w:r w:rsidR="00207CF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medesimi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dati</w:t>
      </w:r>
      <w:r w:rsidR="00207CF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. </w:t>
      </w:r>
    </w:p>
    <w:p w:rsidR="000E0E2D" w:rsidRPr="00052599" w:rsidRDefault="000E0E2D">
      <w:pPr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br w:type="page"/>
      </w:r>
    </w:p>
    <w:p w:rsidR="005F49F4" w:rsidRPr="00052599" w:rsidRDefault="005F49F4" w:rsidP="00E106C5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lastRenderedPageBreak/>
        <w:t>Descrizione dell’iniziativa</w:t>
      </w:r>
    </w:p>
    <w:p w:rsidR="00EB0E9D" w:rsidRDefault="00EB0E9D" w:rsidP="002F096E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L’Agenzia delle entrate–</w:t>
      </w:r>
      <w:r w:rsidR="00E46F47">
        <w:rPr>
          <w:rFonts w:ascii="Century Gothic" w:hAnsi="Century Gothic" w:cs="Courier New"/>
          <w:color w:val="1F497D" w:themeColor="text2"/>
          <w:sz w:val="20"/>
          <w:szCs w:val="20"/>
        </w:rPr>
        <w:t>Riscossione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(di seguito anche AdeR)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è un E</w:t>
      </w:r>
      <w:r w:rsidR="007E79BC" w:rsidRPr="00052599">
        <w:rPr>
          <w:rFonts w:ascii="Century Gothic" w:hAnsi="Century Gothic" w:cs="Courier New"/>
          <w:color w:val="1F497D" w:themeColor="text2"/>
          <w:sz w:val="20"/>
          <w:szCs w:val="20"/>
        </w:rPr>
        <w:t>nte Pubblico Economico</w:t>
      </w:r>
      <w:r w:rsidR="00E106C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istituito ai sensi dell’art.</w:t>
      </w:r>
      <w:r w:rsidR="00C510E4">
        <w:rPr>
          <w:rFonts w:ascii="Century Gothic" w:hAnsi="Century Gothic" w:cs="Courier New"/>
          <w:color w:val="1F497D" w:themeColor="text2"/>
          <w:sz w:val="20"/>
          <w:szCs w:val="20"/>
        </w:rPr>
        <w:t xml:space="preserve">1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del D.L</w:t>
      </w:r>
      <w:r w:rsidRPr="00EB0E9D">
        <w:rPr>
          <w:rFonts w:ascii="Century Gothic" w:hAnsi="Century Gothic" w:cs="Courier New"/>
          <w:color w:val="1F497D" w:themeColor="text2"/>
          <w:sz w:val="20"/>
          <w:szCs w:val="20"/>
        </w:rPr>
        <w:t>. 22 ottobre 2016 n. 193, convertito con modificazioni dalla Legge n. 225 del 1° dicembre 2016 e pubblicato in G.U. n. 282 del 2 dicembre 2016</w:t>
      </w:r>
      <w:r w:rsidR="0035096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(di seguito anche solo Ente)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:rsidR="003564C6" w:rsidRDefault="00667F9F" w:rsidP="00C510E4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L’</w:t>
      </w:r>
      <w:r w:rsidR="007F40BD">
        <w:rPr>
          <w:rFonts w:ascii="Century Gothic" w:hAnsi="Century Gothic" w:cs="Courier New"/>
          <w:color w:val="1F497D" w:themeColor="text2"/>
          <w:sz w:val="20"/>
          <w:szCs w:val="20"/>
        </w:rPr>
        <w:t>AdeR</w:t>
      </w:r>
      <w:r w:rsidR="00EB0E9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è subentrata</w:t>
      </w:r>
      <w:r w:rsidR="003564C6" w:rsidRPr="003564C6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</w:t>
      </w:r>
      <w:r w:rsidR="003564C6">
        <w:rPr>
          <w:rFonts w:ascii="Century Gothic" w:hAnsi="Century Gothic" w:cs="Courier New"/>
          <w:color w:val="1F497D" w:themeColor="text2"/>
          <w:sz w:val="20"/>
          <w:szCs w:val="20"/>
        </w:rPr>
        <w:t>a far data dal 1</w:t>
      </w:r>
      <w:r w:rsidR="00C510E4">
        <w:rPr>
          <w:rFonts w:ascii="Century Gothic" w:hAnsi="Century Gothic" w:cs="Courier New"/>
          <w:color w:val="1F497D" w:themeColor="text2"/>
          <w:sz w:val="20"/>
          <w:szCs w:val="20"/>
        </w:rPr>
        <w:t>°</w:t>
      </w:r>
      <w:r w:rsidR="003564C6">
        <w:rPr>
          <w:rFonts w:ascii="Century Gothic" w:hAnsi="Century Gothic" w:cs="Courier New"/>
          <w:color w:val="1F497D" w:themeColor="text2"/>
          <w:sz w:val="20"/>
          <w:szCs w:val="20"/>
        </w:rPr>
        <w:t xml:space="preserve"> luglio 2017 e </w:t>
      </w:r>
      <w:r w:rsidR="003564C6" w:rsidRPr="003564C6">
        <w:rPr>
          <w:rFonts w:ascii="Century Gothic" w:hAnsi="Century Gothic" w:cs="Courier New"/>
          <w:color w:val="1F497D" w:themeColor="text2"/>
          <w:sz w:val="20"/>
          <w:szCs w:val="20"/>
        </w:rPr>
        <w:t xml:space="preserve">a titolo universale, nei rapporti giuridici attivi e passivi, anche processuali, delle </w:t>
      </w:r>
      <w:r w:rsidR="003564C6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disciolte società del Gruppo Equitalia </w:t>
      </w:r>
      <w:r w:rsidR="003564C6" w:rsidRPr="003564C6">
        <w:rPr>
          <w:rFonts w:ascii="Century Gothic" w:hAnsi="Century Gothic" w:cs="Courier New"/>
          <w:color w:val="1F497D" w:themeColor="text2"/>
          <w:sz w:val="20"/>
          <w:szCs w:val="20"/>
        </w:rPr>
        <w:t xml:space="preserve">ed ha assunto la qualifica di </w:t>
      </w:r>
      <w:r w:rsidR="00C510E4" w:rsidRPr="00C510E4">
        <w:rPr>
          <w:rFonts w:ascii="Century Gothic" w:hAnsi="Century Gothic" w:cs="Courier New"/>
          <w:color w:val="1F497D" w:themeColor="text2"/>
          <w:sz w:val="20"/>
          <w:szCs w:val="20"/>
        </w:rPr>
        <w:t>agente della riscossione con</w:t>
      </w:r>
      <w:r w:rsidR="00C510E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510E4" w:rsidRPr="00C510E4">
        <w:rPr>
          <w:rFonts w:ascii="Century Gothic" w:hAnsi="Century Gothic" w:cs="Courier New"/>
          <w:color w:val="1F497D" w:themeColor="text2"/>
          <w:sz w:val="20"/>
          <w:szCs w:val="20"/>
        </w:rPr>
        <w:t>i poteri e secondo le disposizioni di cui al titolo I, capo II, e al</w:t>
      </w:r>
      <w:r w:rsidR="00C510E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510E4" w:rsidRPr="00C510E4">
        <w:rPr>
          <w:rFonts w:ascii="Century Gothic" w:hAnsi="Century Gothic" w:cs="Courier New"/>
          <w:color w:val="1F497D" w:themeColor="text2"/>
          <w:sz w:val="20"/>
          <w:szCs w:val="20"/>
        </w:rPr>
        <w:t>titolo II del decreto del Presidente della Repubblica 29 settembre</w:t>
      </w:r>
      <w:r w:rsidR="00C510E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510E4" w:rsidRPr="00C510E4">
        <w:rPr>
          <w:rFonts w:ascii="Century Gothic" w:hAnsi="Century Gothic" w:cs="Courier New"/>
          <w:color w:val="1F497D" w:themeColor="text2"/>
          <w:sz w:val="20"/>
          <w:szCs w:val="20"/>
        </w:rPr>
        <w:t>1973, n.</w:t>
      </w:r>
      <w:r w:rsidR="00C510E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510E4" w:rsidRPr="00C510E4">
        <w:rPr>
          <w:rFonts w:ascii="Century Gothic" w:hAnsi="Century Gothic" w:cs="Courier New"/>
          <w:color w:val="1F497D" w:themeColor="text2"/>
          <w:sz w:val="20"/>
          <w:szCs w:val="20"/>
        </w:rPr>
        <w:t>602</w:t>
      </w:r>
      <w:r w:rsidR="003564C6" w:rsidRPr="003564C6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  <w:r w:rsidR="00EB0E9D" w:rsidRPr="00EB0E9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</w:p>
    <w:p w:rsidR="007F40BD" w:rsidRPr="007F40BD" w:rsidRDefault="003564C6" w:rsidP="007F40BD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Per lo svolgimento dei propri fini istituzionali </w:t>
      </w:r>
      <w:r w:rsidR="007F40BD" w:rsidRPr="007F40BD">
        <w:rPr>
          <w:rFonts w:ascii="Century Gothic" w:hAnsi="Century Gothic" w:cs="Courier New"/>
          <w:color w:val="1F497D" w:themeColor="text2"/>
          <w:sz w:val="20"/>
          <w:szCs w:val="20"/>
        </w:rPr>
        <w:t>AdeR</w:t>
      </w: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1C7504" w:rsidRPr="007F40BD">
        <w:rPr>
          <w:rFonts w:ascii="Century Gothic" w:hAnsi="Century Gothic" w:cs="Courier New"/>
          <w:color w:val="1F497D" w:themeColor="text2"/>
          <w:sz w:val="20"/>
          <w:szCs w:val="20"/>
        </w:rPr>
        <w:t>intende</w:t>
      </w: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avvaler</w:t>
      </w:r>
      <w:r w:rsidR="001C7504" w:rsidRPr="007F40BD">
        <w:rPr>
          <w:rFonts w:ascii="Century Gothic" w:hAnsi="Century Gothic" w:cs="Courier New"/>
          <w:color w:val="1F497D" w:themeColor="text2"/>
          <w:sz w:val="20"/>
          <w:szCs w:val="20"/>
        </w:rPr>
        <w:t>si</w:t>
      </w: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del servizio di teso</w:t>
      </w:r>
      <w:r w:rsidR="00C510E4" w:rsidRPr="007F40BD">
        <w:rPr>
          <w:rFonts w:ascii="Century Gothic" w:hAnsi="Century Gothic" w:cs="Courier New"/>
          <w:color w:val="1F497D" w:themeColor="text2"/>
          <w:sz w:val="20"/>
          <w:szCs w:val="20"/>
        </w:rPr>
        <w:t>re</w:t>
      </w: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>ria</w:t>
      </w:r>
      <w:r w:rsidR="002F096E" w:rsidRPr="007F40BD">
        <w:rPr>
          <w:rFonts w:ascii="Century Gothic" w:hAnsi="Century Gothic" w:cs="Courier New"/>
          <w:color w:val="1F497D" w:themeColor="text2"/>
          <w:sz w:val="20"/>
          <w:szCs w:val="20"/>
        </w:rPr>
        <w:t>, come</w:t>
      </w:r>
      <w:r w:rsidR="00667F9F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previsto dall’art. 14 del Regolamento di Contabilità, a</w:t>
      </w:r>
      <w:r w:rsidR="00667F9F" w:rsidRPr="00667F9F">
        <w:rPr>
          <w:rFonts w:ascii="Century Gothic" w:hAnsi="Century Gothic" w:cs="Courier New"/>
          <w:color w:val="1F497D" w:themeColor="text2"/>
          <w:sz w:val="20"/>
          <w:szCs w:val="20"/>
        </w:rPr>
        <w:t>pprovato con Determinazione del Commissario straordinario</w:t>
      </w:r>
      <w:r w:rsidR="00667F9F">
        <w:rPr>
          <w:rFonts w:ascii="Century Gothic" w:hAnsi="Century Gothic" w:cs="Courier New"/>
          <w:color w:val="1F497D" w:themeColor="text2"/>
          <w:sz w:val="20"/>
          <w:szCs w:val="20"/>
        </w:rPr>
        <w:t xml:space="preserve"> n. 18 del 30/06/2017</w:t>
      </w:r>
      <w:r w:rsidR="0036084A">
        <w:rPr>
          <w:rFonts w:ascii="Century Gothic" w:hAnsi="Century Gothic" w:cs="Courier New"/>
          <w:color w:val="1F497D" w:themeColor="text2"/>
          <w:sz w:val="20"/>
          <w:szCs w:val="20"/>
        </w:rPr>
        <w:t xml:space="preserve">: </w:t>
      </w:r>
      <w:r w:rsidR="0036084A" w:rsidRPr="0036084A">
        <w:rPr>
          <w:rFonts w:ascii="Century Gothic" w:hAnsi="Century Gothic" w:cs="Courier New"/>
          <w:i/>
          <w:color w:val="1F497D" w:themeColor="text2"/>
          <w:sz w:val="20"/>
          <w:szCs w:val="20"/>
        </w:rPr>
        <w:t>“Il servizio di tesoreria effettua le operazioni riguardanti la gestione finanziaria dell’Agenzia, inerenti la riscossione delle entrate, il pagamento delle spese, il riversamento dei tributi riscossi, la custodia dei titoli e dei valori e gli adempimenti previsti dalle disposizioni legislative o regolamentari o convenzionali di riferimento”</w:t>
      </w:r>
      <w:r w:rsidR="0036084A" w:rsidRPr="0036084A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  <w:r w:rsidR="00667F9F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</w:p>
    <w:p w:rsidR="000E0E2D" w:rsidRPr="007F40BD" w:rsidRDefault="003564C6" w:rsidP="00F749E1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Tale servizio sarà affidato attraverso le procedure di evidenza pubblica di cui al D.lgs. n. 50/2016 e </w:t>
      </w:r>
      <w:r w:rsidR="00B10652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dovrà essere reso </w:t>
      </w:r>
      <w:r w:rsidR="002F096E" w:rsidRPr="007F40BD">
        <w:rPr>
          <w:rFonts w:ascii="Century Gothic" w:hAnsi="Century Gothic" w:cs="Courier New"/>
          <w:color w:val="1F497D" w:themeColor="text2"/>
          <w:sz w:val="20"/>
          <w:szCs w:val="20"/>
        </w:rPr>
        <w:t>sul</w:t>
      </w:r>
      <w:r w:rsidR="007E79BC" w:rsidRPr="007F40BD">
        <w:rPr>
          <w:rFonts w:ascii="Century Gothic" w:hAnsi="Century Gothic" w:cs="Courier New"/>
          <w:color w:val="1F497D" w:themeColor="text2"/>
          <w:sz w:val="20"/>
          <w:szCs w:val="20"/>
        </w:rPr>
        <w:t>l’intero</w:t>
      </w:r>
      <w:r w:rsidR="002F096E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territorio nazionale</w:t>
      </w:r>
      <w:r w:rsidR="007E79BC" w:rsidRPr="007F40BD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0E0E2D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principalmente </w:t>
      </w:r>
      <w:r w:rsidR="007E79BC" w:rsidRPr="007F40BD">
        <w:rPr>
          <w:rFonts w:ascii="Century Gothic" w:hAnsi="Century Gothic" w:cs="Courier New"/>
          <w:color w:val="1F497D" w:themeColor="text2"/>
          <w:sz w:val="20"/>
          <w:szCs w:val="20"/>
        </w:rPr>
        <w:t>presso</w:t>
      </w:r>
      <w:r w:rsidR="000E0E2D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la rete di </w:t>
      </w:r>
      <w:r w:rsidR="007E79BC" w:rsidRPr="007F40BD">
        <w:rPr>
          <w:rFonts w:ascii="Century Gothic" w:hAnsi="Century Gothic" w:cs="Courier New"/>
          <w:color w:val="1F497D" w:themeColor="text2"/>
          <w:sz w:val="20"/>
          <w:szCs w:val="20"/>
        </w:rPr>
        <w:t>sportelli</w:t>
      </w:r>
      <w:r w:rsidR="000E0E2D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attivi</w:t>
      </w:r>
      <w:r w:rsidR="007E79BC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</w:t>
      </w:r>
      <w:r w:rsidR="007F40BD" w:rsidRPr="007F40BD">
        <w:rPr>
          <w:rFonts w:ascii="Century Gothic" w:hAnsi="Century Gothic" w:cs="Courier New"/>
          <w:color w:val="1F497D" w:themeColor="text2"/>
          <w:sz w:val="20"/>
          <w:szCs w:val="20"/>
        </w:rPr>
        <w:t>i AdeR</w:t>
      </w:r>
      <w:r w:rsidR="002F096E" w:rsidRPr="007F40BD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:rsidR="00D232D2" w:rsidRDefault="00D232D2" w:rsidP="00D232D2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A</w:t>
      </w: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l servizio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in parola</w:t>
      </w:r>
      <w:r w:rsidR="0036084A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si applicano</w:t>
      </w:r>
      <w:r w:rsidR="0036084A">
        <w:rPr>
          <w:rFonts w:ascii="Century Gothic" w:hAnsi="Century Gothic" w:cs="Courier New"/>
          <w:color w:val="1F497D" w:themeColor="text2"/>
          <w:sz w:val="20"/>
          <w:szCs w:val="20"/>
        </w:rPr>
        <w:t xml:space="preserve"> le previsioni di cui all’art.5 del</w:t>
      </w:r>
      <w:r w:rsidR="00830172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36084A" w:rsidRPr="0036084A">
        <w:rPr>
          <w:rFonts w:ascii="Century Gothic" w:hAnsi="Century Gothic" w:cs="Courier New"/>
          <w:color w:val="1F497D" w:themeColor="text2"/>
          <w:sz w:val="20"/>
          <w:szCs w:val="20"/>
        </w:rPr>
        <w:t>Decreto legislativo del 07/03/2005 n. 82</w:t>
      </w:r>
      <w:r w:rsidR="00FF7751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(Codice</w:t>
      </w:r>
      <w:r w:rsidR="007F40BD" w:rsidRP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dell'amministrazione digitale</w:t>
      </w:r>
      <w:r w:rsidRPr="007F40BD">
        <w:rPr>
          <w:rFonts w:ascii="Century Gothic" w:hAnsi="Century Gothic" w:cs="Courier New"/>
          <w:color w:val="1F497D" w:themeColor="text2"/>
          <w:sz w:val="20"/>
          <w:szCs w:val="20"/>
        </w:rPr>
        <w:t>).</w:t>
      </w:r>
    </w:p>
    <w:p w:rsidR="00F749E1" w:rsidRPr="007F40BD" w:rsidRDefault="000D4F54" w:rsidP="00D232D2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In particolare</w:t>
      </w:r>
      <w:r w:rsidR="00D232D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si richiamano di seguito i principi generali per lo svolgimento del servizio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:</w:t>
      </w:r>
    </w:p>
    <w:p w:rsidR="00F749E1" w:rsidRDefault="0036084A" w:rsidP="00DB539B">
      <w:pPr>
        <w:pStyle w:val="Paragrafoelenco"/>
        <w:numPr>
          <w:ilvl w:val="0"/>
          <w:numId w:val="32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i</w:t>
      </w:r>
      <w:r w:rsidRPr="0036084A">
        <w:rPr>
          <w:rFonts w:ascii="Century Gothic" w:hAnsi="Century Gothic" w:cs="Courier New"/>
          <w:color w:val="1F497D" w:themeColor="text2"/>
          <w:sz w:val="20"/>
          <w:szCs w:val="20"/>
        </w:rPr>
        <w:t xml:space="preserve">l servizio di tesoreria viene affidato a una banca di cui all'articolo 13 del </w:t>
      </w:r>
      <w:r w:rsidR="00DB539B" w:rsidRPr="00DB539B">
        <w:rPr>
          <w:rFonts w:ascii="Century Gothic" w:hAnsi="Century Gothic" w:cs="Courier New"/>
          <w:color w:val="1F497D" w:themeColor="text2"/>
          <w:sz w:val="20"/>
          <w:szCs w:val="20"/>
        </w:rPr>
        <w:t>Decreto legislativo del 01/09/1993 n. 385</w:t>
      </w:r>
      <w:r w:rsidR="00DB539B">
        <w:rPr>
          <w:rFonts w:ascii="Century Gothic" w:hAnsi="Century Gothic" w:cs="Courier New"/>
          <w:color w:val="1F497D" w:themeColor="text2"/>
          <w:sz w:val="20"/>
          <w:szCs w:val="20"/>
        </w:rPr>
        <w:t xml:space="preserve"> (</w:t>
      </w:r>
      <w:r w:rsidR="00DB539B" w:rsidRPr="00DB539B">
        <w:rPr>
          <w:rFonts w:ascii="Century Gothic" w:hAnsi="Century Gothic" w:cs="Courier New"/>
          <w:color w:val="1F497D" w:themeColor="text2"/>
          <w:sz w:val="20"/>
          <w:szCs w:val="20"/>
        </w:rPr>
        <w:t>Testo unico delle leggi in materia bancaria e creditizia</w:t>
      </w:r>
      <w:r w:rsidR="00DB539B">
        <w:rPr>
          <w:rFonts w:ascii="Century Gothic" w:hAnsi="Century Gothic" w:cs="Courier New"/>
          <w:color w:val="1F497D" w:themeColor="text2"/>
          <w:sz w:val="20"/>
          <w:szCs w:val="20"/>
        </w:rPr>
        <w:t>)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F749E1" w:rsidRPr="00052599" w:rsidRDefault="008273C0" w:rsidP="00D80A8E">
      <w:pPr>
        <w:pStyle w:val="Paragrafoelenco"/>
        <w:numPr>
          <w:ilvl w:val="0"/>
          <w:numId w:val="32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i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l servizio di tesoreria </w:t>
      </w:r>
      <w:r w:rsidR="00F749E1" w:rsidRPr="008273C0">
        <w:rPr>
          <w:rFonts w:ascii="Century Gothic" w:hAnsi="Century Gothic" w:cs="Courier New"/>
          <w:color w:val="1F497D" w:themeColor="text2"/>
          <w:sz w:val="20"/>
          <w:szCs w:val="20"/>
        </w:rPr>
        <w:t xml:space="preserve">prevede l'autonomo espletamento del servizio di cassa da parte delle strutture periferiche </w:t>
      </w:r>
      <w:r w:rsidR="007F40BD" w:rsidRPr="008273C0">
        <w:rPr>
          <w:rFonts w:ascii="Century Gothic" w:hAnsi="Century Gothic" w:cs="Courier New"/>
          <w:color w:val="1F497D" w:themeColor="text2"/>
          <w:sz w:val="20"/>
          <w:szCs w:val="20"/>
        </w:rPr>
        <w:t>di AdeR</w:t>
      </w:r>
      <w:r w:rsidR="00F749E1" w:rsidRPr="008273C0">
        <w:rPr>
          <w:rFonts w:ascii="Century Gothic" w:hAnsi="Century Gothic" w:cs="Courier New"/>
          <w:color w:val="1F497D" w:themeColor="text2"/>
          <w:sz w:val="20"/>
          <w:szCs w:val="20"/>
        </w:rPr>
        <w:t>, senza alcun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pregiudizio per l'unitarieta' del servizio e delle condizioni pattuite</w:t>
      </w:r>
      <w:r w:rsidR="00C55393" w:rsidRPr="00052599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F749E1" w:rsidRPr="00052599" w:rsidRDefault="000E0E2D" w:rsidP="00D80A8E">
      <w:pPr>
        <w:pStyle w:val="Paragrafoelenco"/>
        <w:numPr>
          <w:ilvl w:val="0"/>
          <w:numId w:val="32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p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>er eventuali danni causati all'ente o a terzi, il tesoriere risponde con tutte le proprie attivita' e con il proprio patrimonio</w:t>
      </w:r>
      <w:r w:rsidR="00C55393" w:rsidRPr="00052599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F749E1" w:rsidRPr="00052599" w:rsidRDefault="000E0E2D" w:rsidP="00D80A8E">
      <w:pPr>
        <w:pStyle w:val="Paragrafoelenco"/>
        <w:numPr>
          <w:ilvl w:val="0"/>
          <w:numId w:val="32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i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>l tesoriere e' responsabile di tutti i depositi, comunque costituiti, intestati all'ente</w:t>
      </w:r>
      <w:r w:rsidR="00C55393" w:rsidRPr="00052599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F749E1" w:rsidRPr="00052599" w:rsidRDefault="008273C0" w:rsidP="00D80A8E">
      <w:pPr>
        <w:pStyle w:val="Paragrafoelenco"/>
        <w:numPr>
          <w:ilvl w:val="0"/>
          <w:numId w:val="32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l’ente </w:t>
      </w:r>
      <w:r w:rsidR="000E0E2D" w:rsidRPr="00052599">
        <w:rPr>
          <w:rFonts w:ascii="Century Gothic" w:hAnsi="Century Gothic" w:cs="Courier New"/>
          <w:color w:val="1F497D" w:themeColor="text2"/>
          <w:sz w:val="20"/>
          <w:szCs w:val="20"/>
        </w:rPr>
        <w:t>si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avvale </w:t>
      </w:r>
      <w:r w:rsidR="007F40BD">
        <w:rPr>
          <w:rFonts w:ascii="Century Gothic" w:hAnsi="Century Gothic" w:cs="Courier New"/>
          <w:color w:val="1F497D" w:themeColor="text2"/>
          <w:sz w:val="20"/>
          <w:szCs w:val="20"/>
        </w:rPr>
        <w:t xml:space="preserve">anche 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>di conti correnti postali per l'espletamento</w:t>
      </w:r>
      <w:r w:rsidR="000E0E2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del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servizi</w:t>
      </w:r>
      <w:r w:rsidR="000E0E2D" w:rsidRPr="00052599">
        <w:rPr>
          <w:rFonts w:ascii="Century Gothic" w:hAnsi="Century Gothic" w:cs="Courier New"/>
          <w:color w:val="1F497D" w:themeColor="text2"/>
          <w:sz w:val="20"/>
          <w:szCs w:val="20"/>
        </w:rPr>
        <w:t>o di riscossione</w:t>
      </w:r>
      <w:r w:rsidR="002F42F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: l’unico 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traente </w:t>
      </w:r>
      <w:r w:rsidR="000E0E2D" w:rsidRPr="00052599">
        <w:rPr>
          <w:rFonts w:ascii="Century Gothic" w:hAnsi="Century Gothic" w:cs="Courier New"/>
          <w:color w:val="1F497D" w:themeColor="text2"/>
          <w:sz w:val="20"/>
          <w:szCs w:val="20"/>
        </w:rPr>
        <w:t>sarà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il </w:t>
      </w:r>
      <w:r w:rsidR="002943FC" w:rsidRPr="00052599">
        <w:rPr>
          <w:rFonts w:ascii="Century Gothic" w:hAnsi="Century Gothic" w:cs="Courier New"/>
          <w:color w:val="1F497D" w:themeColor="text2"/>
          <w:sz w:val="20"/>
          <w:szCs w:val="20"/>
        </w:rPr>
        <w:t>tesor</w:t>
      </w:r>
      <w:r w:rsidR="002943FC">
        <w:rPr>
          <w:rFonts w:ascii="Century Gothic" w:hAnsi="Century Gothic" w:cs="Courier New"/>
          <w:color w:val="1F497D" w:themeColor="text2"/>
          <w:sz w:val="20"/>
          <w:szCs w:val="20"/>
        </w:rPr>
        <w:t>ier</w:t>
      </w:r>
      <w:r w:rsidR="002943FC" w:rsidRPr="00052599">
        <w:rPr>
          <w:rFonts w:ascii="Century Gothic" w:hAnsi="Century Gothic" w:cs="Courier New"/>
          <w:color w:val="1F497D" w:themeColor="text2"/>
          <w:sz w:val="20"/>
          <w:szCs w:val="20"/>
        </w:rPr>
        <w:t>e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previa emissione di apposita </w:t>
      </w:r>
      <w:r w:rsidR="006F646D" w:rsidRPr="00052599">
        <w:rPr>
          <w:rFonts w:ascii="Century Gothic" w:hAnsi="Century Gothic" w:cs="Courier New"/>
          <w:color w:val="1F497D" w:themeColor="text2"/>
          <w:sz w:val="20"/>
          <w:szCs w:val="20"/>
        </w:rPr>
        <w:t>disposizione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da parte dell'ente con cadenza da</w:t>
      </w:r>
      <w:r w:rsidR="00D80A8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>stabilirsi</w:t>
      </w:r>
      <w:r w:rsidR="00C55393" w:rsidRPr="00052599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2F42F5" w:rsidRPr="00052599" w:rsidRDefault="008273C0" w:rsidP="00D80A8E">
      <w:pPr>
        <w:pStyle w:val="Paragrafoelenco"/>
        <w:numPr>
          <w:ilvl w:val="0"/>
          <w:numId w:val="32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l’ente</w:t>
      </w:r>
      <w:r w:rsidR="00C90A38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2F42F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per l’esecuzione</w:t>
      </w:r>
      <w:r w:rsidR="002F42F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del</w:t>
      </w:r>
      <w:r w:rsidR="002F42F5" w:rsidRPr="00052599">
        <w:rPr>
          <w:rFonts w:ascii="Century Gothic" w:hAnsi="Century Gothic" w:cs="Courier New"/>
          <w:color w:val="1F497D" w:themeColor="text2"/>
          <w:sz w:val="20"/>
          <w:szCs w:val="20"/>
        </w:rPr>
        <w:t>le operazioni di incasso e pagamento</w:t>
      </w:r>
      <w:r w:rsidR="00C90A38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opera</w:t>
      </w:r>
      <w:r w:rsidR="002F42F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senza l’utilizzo di </w:t>
      </w:r>
      <w:r w:rsidR="002943FC" w:rsidRPr="00052599">
        <w:rPr>
          <w:rFonts w:ascii="Century Gothic" w:hAnsi="Century Gothic" w:cs="Courier New"/>
          <w:color w:val="1F497D" w:themeColor="text2"/>
          <w:sz w:val="20"/>
          <w:szCs w:val="20"/>
        </w:rPr>
        <w:t>rev</w:t>
      </w:r>
      <w:r w:rsidR="002943FC">
        <w:rPr>
          <w:rFonts w:ascii="Century Gothic" w:hAnsi="Century Gothic" w:cs="Courier New"/>
          <w:color w:val="1F497D" w:themeColor="text2"/>
          <w:sz w:val="20"/>
          <w:szCs w:val="20"/>
        </w:rPr>
        <w:t>e</w:t>
      </w:r>
      <w:r w:rsidR="002943FC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rsali </w:t>
      </w:r>
      <w:r w:rsidR="002F42F5" w:rsidRPr="00052599">
        <w:rPr>
          <w:rFonts w:ascii="Century Gothic" w:hAnsi="Century Gothic" w:cs="Courier New"/>
          <w:color w:val="1F497D" w:themeColor="text2"/>
          <w:sz w:val="20"/>
          <w:szCs w:val="20"/>
        </w:rPr>
        <w:t>e mandati</w:t>
      </w:r>
      <w:r w:rsidR="00D111AD" w:rsidRPr="00D111AD">
        <w:rPr>
          <w:rFonts w:ascii="Century Gothic" w:hAnsi="Century Gothic" w:cs="Courier New"/>
          <w:color w:val="1F497D" w:themeColor="text2"/>
          <w:sz w:val="20"/>
          <w:szCs w:val="20"/>
        </w:rPr>
        <w:t xml:space="preserve">. </w:t>
      </w:r>
      <w:r w:rsidR="00D111AD" w:rsidRPr="00D111AD">
        <w:rPr>
          <w:rFonts w:ascii="Century Gothic" w:hAnsi="Century Gothic" w:cs="Courier New"/>
          <w:bCs/>
          <w:color w:val="1F497D" w:themeColor="text2"/>
          <w:sz w:val="20"/>
          <w:szCs w:val="20"/>
        </w:rPr>
        <w:t>A</w:t>
      </w:r>
      <w:r>
        <w:rPr>
          <w:rFonts w:ascii="Century Gothic" w:hAnsi="Century Gothic" w:cs="Courier New"/>
          <w:bCs/>
          <w:color w:val="1F497D" w:themeColor="text2"/>
          <w:sz w:val="20"/>
          <w:szCs w:val="20"/>
        </w:rPr>
        <w:t>l</w:t>
      </w:r>
      <w:r w:rsidR="00D111AD" w:rsidRPr="00D111AD">
        <w:rPr>
          <w:rFonts w:ascii="Century Gothic" w:hAnsi="Century Gothic" w:cs="Courier New"/>
          <w:bCs/>
          <w:color w:val="1F497D" w:themeColor="text2"/>
          <w:sz w:val="20"/>
          <w:szCs w:val="20"/>
        </w:rPr>
        <w:t xml:space="preserve"> </w:t>
      </w:r>
      <w:r>
        <w:rPr>
          <w:rFonts w:ascii="Century Gothic" w:hAnsi="Century Gothic" w:cs="Courier New"/>
          <w:bCs/>
          <w:color w:val="1F497D" w:themeColor="text2"/>
          <w:sz w:val="20"/>
          <w:szCs w:val="20"/>
        </w:rPr>
        <w:t>riguardo</w:t>
      </w:r>
      <w:r w:rsidR="00D111AD" w:rsidRPr="00D111AD">
        <w:rPr>
          <w:rFonts w:ascii="Century Gothic" w:hAnsi="Century Gothic" w:cs="Courier New"/>
          <w:bCs/>
          <w:color w:val="1F497D" w:themeColor="text2"/>
          <w:sz w:val="20"/>
          <w:szCs w:val="20"/>
        </w:rPr>
        <w:t>, il tesoriere nella gestione delle somme incassate non emette</w:t>
      </w:r>
      <w:r>
        <w:rPr>
          <w:rFonts w:ascii="Century Gothic" w:hAnsi="Century Gothic" w:cs="Courier New"/>
          <w:bCs/>
          <w:color w:val="1F497D" w:themeColor="text2"/>
          <w:sz w:val="20"/>
          <w:szCs w:val="20"/>
        </w:rPr>
        <w:t>rà</w:t>
      </w:r>
      <w:r w:rsidR="00D111AD" w:rsidRPr="00D111AD">
        <w:rPr>
          <w:rFonts w:ascii="Century Gothic" w:hAnsi="Century Gothic" w:cs="Courier New"/>
          <w:bCs/>
          <w:color w:val="1F497D" w:themeColor="text2"/>
          <w:sz w:val="20"/>
          <w:szCs w:val="20"/>
        </w:rPr>
        <w:t xml:space="preserve"> quietanza liberatoria</w:t>
      </w:r>
      <w:r w:rsidR="002F42F5" w:rsidRPr="00D111AD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F749E1" w:rsidRDefault="008273C0" w:rsidP="00D80A8E">
      <w:pPr>
        <w:pStyle w:val="Paragrafoelenco"/>
        <w:numPr>
          <w:ilvl w:val="0"/>
          <w:numId w:val="32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l’ente non è </w:t>
      </w:r>
      <w:r w:rsidR="00BA32D5">
        <w:rPr>
          <w:rFonts w:ascii="Century Gothic" w:hAnsi="Century Gothic" w:cs="Courier New"/>
          <w:color w:val="1F497D" w:themeColor="text2"/>
          <w:sz w:val="20"/>
          <w:szCs w:val="20"/>
        </w:rPr>
        <w:t>ricompreso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tra i soggetti</w:t>
      </w:r>
      <w:r w:rsidR="00BA32D5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inseriti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negli elenchi di cui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alla legge 29 ottobre 1984, n. 720 e successive modificazioni</w:t>
      </w:r>
      <w:r w:rsidR="006F646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(</w:t>
      </w:r>
      <w:r w:rsidR="006F646D" w:rsidRPr="00052599">
        <w:rPr>
          <w:rFonts w:ascii="Century Gothic" w:hAnsi="Century Gothic" w:cs="Courier New"/>
          <w:color w:val="1F497D" w:themeColor="text2"/>
          <w:sz w:val="20"/>
          <w:szCs w:val="20"/>
        </w:rPr>
        <w:t>regime di tesoreria unica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)</w:t>
      </w:r>
      <w:r w:rsidR="00C55393" w:rsidRPr="00052599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F749E1" w:rsidRPr="00AE0B63" w:rsidRDefault="000E0E2D" w:rsidP="00D80A8E">
      <w:pPr>
        <w:pStyle w:val="Paragrafoelenco"/>
        <w:numPr>
          <w:ilvl w:val="0"/>
          <w:numId w:val="32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l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'organizzazione </w:t>
      </w:r>
      <w:r w:rsidR="00D111AD">
        <w:rPr>
          <w:rFonts w:ascii="Century Gothic" w:hAnsi="Century Gothic" w:cs="Courier New"/>
          <w:color w:val="1F497D" w:themeColor="text2"/>
          <w:sz w:val="20"/>
          <w:szCs w:val="20"/>
        </w:rPr>
        <w:t>di AdeR</w:t>
      </w:r>
      <w:r w:rsidR="006F646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prevede che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il servizio di tesoreria </w:t>
      </w:r>
      <w:r w:rsidR="006F646D" w:rsidRPr="00052599">
        <w:rPr>
          <w:rFonts w:ascii="Century Gothic" w:hAnsi="Century Gothic" w:cs="Courier New"/>
          <w:color w:val="1F497D" w:themeColor="text2"/>
          <w:sz w:val="20"/>
          <w:szCs w:val="20"/>
        </w:rPr>
        <w:t>venga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gestito con metodologie </w:t>
      </w:r>
      <w:r w:rsidR="002943FC">
        <w:rPr>
          <w:rFonts w:ascii="Century Gothic" w:hAnsi="Century Gothic" w:cs="Courier New"/>
          <w:color w:val="1F497D" w:themeColor="text2"/>
          <w:sz w:val="20"/>
          <w:szCs w:val="20"/>
        </w:rPr>
        <w:t>e</w:t>
      </w:r>
      <w:r w:rsidR="002943FC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 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evidenze informatiche con collegamento diretto </w:t>
      </w:r>
      <w:r w:rsidR="00BA32D5">
        <w:rPr>
          <w:rFonts w:ascii="Century Gothic" w:hAnsi="Century Gothic" w:cs="Courier New"/>
          <w:color w:val="1F497D" w:themeColor="text2"/>
          <w:sz w:val="20"/>
          <w:szCs w:val="20"/>
        </w:rPr>
        <w:t>con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il </w:t>
      </w:r>
      <w:r w:rsidR="00BA32D5">
        <w:rPr>
          <w:rFonts w:ascii="Century Gothic" w:hAnsi="Century Gothic" w:cs="Courier New"/>
          <w:color w:val="1F497D" w:themeColor="text2"/>
          <w:sz w:val="20"/>
          <w:szCs w:val="20"/>
        </w:rPr>
        <w:t>settore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6F646D" w:rsidRPr="00052599">
        <w:rPr>
          <w:rFonts w:ascii="Century Gothic" w:hAnsi="Century Gothic" w:cs="Courier New"/>
          <w:color w:val="1F497D" w:themeColor="text2"/>
          <w:sz w:val="20"/>
          <w:szCs w:val="20"/>
        </w:rPr>
        <w:t>amministrativo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>, al fine di</w:t>
      </w:r>
      <w:r w:rsidR="00D80A8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F749E1" w:rsidRPr="00052599">
        <w:rPr>
          <w:rFonts w:ascii="Century Gothic" w:hAnsi="Century Gothic" w:cs="Courier New"/>
          <w:color w:val="1F497D" w:themeColor="text2"/>
          <w:sz w:val="20"/>
          <w:szCs w:val="20"/>
        </w:rPr>
        <w:t>consentire l'interscambio dei dati e della documentazione relativi alla gestione del servizio</w:t>
      </w:r>
      <w:r w:rsidR="00F749E1" w:rsidRPr="00AE0B63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  <w:r w:rsidRPr="00AE0B63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F36E11" w:rsidRPr="00826204">
        <w:rPr>
          <w:rFonts w:ascii="Century Gothic" w:hAnsi="Century Gothic" w:cs="Courier New"/>
          <w:color w:val="1F497D" w:themeColor="text2"/>
          <w:sz w:val="20"/>
          <w:szCs w:val="20"/>
        </w:rPr>
        <w:t>L’ente</w:t>
      </w:r>
      <w:r w:rsidRPr="0082620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mette</w:t>
      </w:r>
      <w:r w:rsidR="00F36E11" w:rsidRPr="00826204">
        <w:rPr>
          <w:rFonts w:ascii="Century Gothic" w:hAnsi="Century Gothic" w:cs="Courier New"/>
          <w:color w:val="1F497D" w:themeColor="text2"/>
          <w:sz w:val="20"/>
          <w:szCs w:val="20"/>
        </w:rPr>
        <w:t>rà</w:t>
      </w:r>
      <w:r w:rsidRPr="0082620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 disposizione </w:t>
      </w:r>
      <w:r w:rsidR="00830172" w:rsidRPr="00826204">
        <w:rPr>
          <w:rFonts w:ascii="Century Gothic" w:hAnsi="Century Gothic" w:cs="Courier New"/>
          <w:color w:val="1F497D" w:themeColor="text2"/>
          <w:sz w:val="20"/>
          <w:szCs w:val="20"/>
        </w:rPr>
        <w:t xml:space="preserve">i necessari presidi </w:t>
      </w:r>
      <w:r w:rsidR="00830172" w:rsidRPr="00826204">
        <w:rPr>
          <w:rFonts w:ascii="Century Gothic" w:hAnsi="Century Gothic" w:cs="Courier New"/>
          <w:color w:val="1F497D" w:themeColor="text2"/>
          <w:sz w:val="20"/>
          <w:szCs w:val="20"/>
        </w:rPr>
        <w:lastRenderedPageBreak/>
        <w:t xml:space="preserve">logistici </w:t>
      </w:r>
      <w:r w:rsidRPr="00826204">
        <w:rPr>
          <w:rFonts w:ascii="Century Gothic" w:hAnsi="Century Gothic" w:cs="Courier New"/>
          <w:color w:val="1F497D" w:themeColor="text2"/>
          <w:sz w:val="20"/>
          <w:szCs w:val="20"/>
        </w:rPr>
        <w:t xml:space="preserve">nella sede della Direzione Centrale per supportare </w:t>
      </w:r>
      <w:r w:rsidR="00F36E11" w:rsidRPr="00826204">
        <w:rPr>
          <w:rFonts w:ascii="Century Gothic" w:hAnsi="Century Gothic" w:cs="Courier New"/>
          <w:color w:val="1F497D" w:themeColor="text2"/>
          <w:sz w:val="20"/>
          <w:szCs w:val="20"/>
        </w:rPr>
        <w:t>il</w:t>
      </w:r>
      <w:r w:rsidRPr="0082620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tesori</w:t>
      </w:r>
      <w:r w:rsidR="00830172" w:rsidRPr="00826204">
        <w:rPr>
          <w:rFonts w:ascii="Century Gothic" w:hAnsi="Century Gothic" w:cs="Courier New"/>
          <w:color w:val="1F497D" w:themeColor="text2"/>
          <w:sz w:val="20"/>
          <w:szCs w:val="20"/>
        </w:rPr>
        <w:t>e</w:t>
      </w:r>
      <w:r w:rsidRPr="00826204">
        <w:rPr>
          <w:rFonts w:ascii="Century Gothic" w:hAnsi="Century Gothic" w:cs="Courier New"/>
          <w:color w:val="1F497D" w:themeColor="text2"/>
          <w:sz w:val="20"/>
          <w:szCs w:val="20"/>
        </w:rPr>
        <w:t>re nell’espletamento del servizio.</w:t>
      </w:r>
    </w:p>
    <w:p w:rsidR="007A19D1" w:rsidRPr="00052599" w:rsidRDefault="007A19D1" w:rsidP="002F096E">
      <w:pPr>
        <w:ind w:firstLine="567"/>
        <w:jc w:val="both"/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</w:pPr>
    </w:p>
    <w:p w:rsidR="002F096E" w:rsidRPr="00052599" w:rsidRDefault="001C7504" w:rsidP="002F096E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  <w:t>D</w:t>
      </w:r>
      <w:r w:rsidR="00AD1C73"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  <w:t>escrizione de</w:t>
      </w:r>
      <w:r w:rsidR="00F36E11"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  <w:t>l</w:t>
      </w:r>
      <w:r w:rsidR="00AD1C73"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  <w:t xml:space="preserve"> servizi</w:t>
      </w:r>
      <w:r w:rsidR="00F36E11">
        <w:rPr>
          <w:rFonts w:ascii="Century Gothic" w:hAnsi="Century Gothic" w:cs="Courier New"/>
          <w:b/>
          <w:bCs/>
          <w:color w:val="1F497D" w:themeColor="text2"/>
          <w:sz w:val="20"/>
          <w:szCs w:val="20"/>
        </w:rPr>
        <w:t>o di tesoreria</w:t>
      </w:r>
    </w:p>
    <w:p w:rsidR="00754094" w:rsidRPr="00052599" w:rsidRDefault="00AD1C73" w:rsidP="002F096E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Il servizio di tesoreria di cui alla presente consultazione si caratterizza per la sua complessità in relazione al ruolo di Agente della riscossione ricoperto da </w:t>
      </w:r>
      <w:r w:rsidR="00D111AD">
        <w:rPr>
          <w:rFonts w:ascii="Century Gothic" w:hAnsi="Century Gothic" w:cs="Courier New"/>
          <w:color w:val="1F497D" w:themeColor="text2"/>
          <w:sz w:val="20"/>
          <w:szCs w:val="20"/>
        </w:rPr>
        <w:t>AdeR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e all’applica</w:t>
      </w:r>
      <w:r w:rsidR="00D111AD">
        <w:rPr>
          <w:rFonts w:ascii="Century Gothic" w:hAnsi="Century Gothic" w:cs="Courier New"/>
          <w:color w:val="1F497D" w:themeColor="text2"/>
          <w:sz w:val="20"/>
          <w:szCs w:val="20"/>
        </w:rPr>
        <w:t>z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ione della specifica normativa di riferimento</w:t>
      </w:r>
      <w:r w:rsidR="00D111AD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:rsidR="002F096E" w:rsidRPr="00052599" w:rsidRDefault="00AD1C73" w:rsidP="002F096E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Di seguito si </w:t>
      </w:r>
      <w:r w:rsidR="007C2355">
        <w:rPr>
          <w:rFonts w:ascii="Century Gothic" w:hAnsi="Century Gothic" w:cs="Courier New"/>
          <w:color w:val="1F497D" w:themeColor="text2"/>
          <w:sz w:val="20"/>
          <w:szCs w:val="20"/>
        </w:rPr>
        <w:t>riporta un</w:t>
      </w:r>
      <w:r w:rsidR="00F36E11">
        <w:rPr>
          <w:rFonts w:ascii="Century Gothic" w:hAnsi="Century Gothic" w:cs="Courier New"/>
          <w:color w:val="1F497D" w:themeColor="text2"/>
          <w:sz w:val="20"/>
          <w:szCs w:val="20"/>
        </w:rPr>
        <w:t>’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elencazione delle </w:t>
      </w:r>
      <w:r w:rsidR="007C2355">
        <w:rPr>
          <w:rFonts w:ascii="Century Gothic" w:hAnsi="Century Gothic" w:cs="Courier New"/>
          <w:color w:val="1F497D" w:themeColor="text2"/>
          <w:sz w:val="20"/>
          <w:szCs w:val="20"/>
        </w:rPr>
        <w:t xml:space="preserve">principali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attività di cui si compone il servizio</w:t>
      </w:r>
      <w:r w:rsidR="002F096E" w:rsidRPr="00052599">
        <w:rPr>
          <w:rFonts w:ascii="Century Gothic" w:hAnsi="Century Gothic" w:cs="Courier New"/>
          <w:color w:val="1F497D" w:themeColor="text2"/>
          <w:sz w:val="20"/>
          <w:szCs w:val="20"/>
        </w:rPr>
        <w:t>:</w:t>
      </w:r>
    </w:p>
    <w:p w:rsidR="000D7957" w:rsidRPr="00052599" w:rsidRDefault="00C05827" w:rsidP="00650D03">
      <w:pPr>
        <w:numPr>
          <w:ilvl w:val="0"/>
          <w:numId w:val="34"/>
        </w:numPr>
        <w:spacing w:after="120" w:line="240" w:lineRule="auto"/>
        <w:jc w:val="both"/>
        <w:rPr>
          <w:rFonts w:ascii="Century Gothic" w:hAnsi="Century Gothic" w:cs="Courier New"/>
          <w:b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Gestione accentrata delle </w:t>
      </w:r>
      <w:r w:rsidR="000D7957"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disponibilità</w:t>
      </w: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 finanziarie</w:t>
      </w:r>
      <w:r w:rsidR="00A97A1E">
        <w:rPr>
          <w:rFonts w:ascii="Century Gothic" w:hAnsi="Century Gothic" w:cs="Courier New"/>
          <w:b/>
          <w:color w:val="1F497D" w:themeColor="text2"/>
          <w:sz w:val="20"/>
          <w:szCs w:val="20"/>
        </w:rPr>
        <w:t>:</w:t>
      </w:r>
    </w:p>
    <w:p w:rsidR="00030450" w:rsidRPr="00052599" w:rsidRDefault="00E61B0A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Il tesoriere,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0060A1" w:rsidRPr="00052599">
        <w:rPr>
          <w:rFonts w:ascii="Century Gothic" w:hAnsi="Century Gothic" w:cs="Courier New"/>
          <w:color w:val="1F497D" w:themeColor="text2"/>
          <w:sz w:val="20"/>
          <w:szCs w:val="20"/>
        </w:rPr>
        <w:t>nell’effettuazione</w:t>
      </w:r>
      <w:r w:rsidR="00182DC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0060A1" w:rsidRPr="00052599">
        <w:rPr>
          <w:rFonts w:ascii="Century Gothic" w:hAnsi="Century Gothic" w:cs="Courier New"/>
          <w:color w:val="1F497D" w:themeColor="text2"/>
          <w:sz w:val="20"/>
          <w:szCs w:val="20"/>
        </w:rPr>
        <w:t>di tutte le operazioni di</w:t>
      </w:r>
      <w:r w:rsidR="009C031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0060A1" w:rsidRPr="00052599">
        <w:rPr>
          <w:rFonts w:ascii="Century Gothic" w:hAnsi="Century Gothic" w:cs="Courier New"/>
          <w:color w:val="1F497D" w:themeColor="text2"/>
          <w:sz w:val="20"/>
          <w:szCs w:val="20"/>
        </w:rPr>
        <w:t>incasso e di pagamento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0060A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F36E11">
        <w:rPr>
          <w:rFonts w:ascii="Century Gothic" w:hAnsi="Century Gothic" w:cs="Courier New"/>
          <w:color w:val="1F497D" w:themeColor="text2"/>
          <w:sz w:val="20"/>
          <w:szCs w:val="20"/>
        </w:rPr>
        <w:t>accentrerà</w:t>
      </w:r>
      <w:r w:rsidR="00182DC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tutte le </w:t>
      </w:r>
      <w:r w:rsidR="000060A1" w:rsidRPr="00052599">
        <w:rPr>
          <w:rFonts w:ascii="Century Gothic" w:hAnsi="Century Gothic" w:cs="Courier New"/>
          <w:color w:val="1F497D" w:themeColor="text2"/>
          <w:sz w:val="20"/>
          <w:szCs w:val="20"/>
        </w:rPr>
        <w:t>rime</w:t>
      </w:r>
      <w:r w:rsidR="00182DC2" w:rsidRPr="00052599">
        <w:rPr>
          <w:rFonts w:ascii="Century Gothic" w:hAnsi="Century Gothic" w:cs="Courier New"/>
          <w:color w:val="1F497D" w:themeColor="text2"/>
          <w:sz w:val="20"/>
          <w:szCs w:val="20"/>
        </w:rPr>
        <w:t>sse</w:t>
      </w:r>
      <w:r w:rsidR="000060A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su</w:t>
      </w:r>
      <w:r w:rsidR="00F36E11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0D4F54">
        <w:rPr>
          <w:rFonts w:ascii="Century Gothic" w:hAnsi="Century Gothic" w:cs="Courier New"/>
          <w:color w:val="1F497D" w:themeColor="text2"/>
          <w:sz w:val="20"/>
          <w:szCs w:val="20"/>
        </w:rPr>
        <w:t>specifico</w:t>
      </w:r>
      <w:r w:rsidR="000060A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conto c</w:t>
      </w:r>
      <w:r w:rsidR="00182DC2" w:rsidRPr="00052599">
        <w:rPr>
          <w:rFonts w:ascii="Century Gothic" w:hAnsi="Century Gothic" w:cs="Courier New"/>
          <w:color w:val="1F497D" w:themeColor="text2"/>
          <w:sz w:val="20"/>
          <w:szCs w:val="20"/>
        </w:rPr>
        <w:t>o</w:t>
      </w:r>
      <w:r w:rsidR="000060A1" w:rsidRPr="00052599">
        <w:rPr>
          <w:rFonts w:ascii="Century Gothic" w:hAnsi="Century Gothic" w:cs="Courier New"/>
          <w:color w:val="1F497D" w:themeColor="text2"/>
          <w:sz w:val="20"/>
          <w:szCs w:val="20"/>
        </w:rPr>
        <w:t>rrente</w:t>
      </w:r>
      <w:r w:rsidR="00182DC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su base giornaliera</w:t>
      </w:r>
      <w:r w:rsidR="000060A1" w:rsidRPr="00052599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:rsidR="00E61B0A" w:rsidRPr="00E61B0A" w:rsidRDefault="00E61B0A" w:rsidP="00E61B0A">
      <w:pPr>
        <w:numPr>
          <w:ilvl w:val="0"/>
          <w:numId w:val="34"/>
        </w:numPr>
        <w:jc w:val="both"/>
        <w:rPr>
          <w:rFonts w:ascii="Century Gothic" w:hAnsi="Century Gothic" w:cs="Courier New"/>
          <w:b/>
          <w:color w:val="1F497D" w:themeColor="text2"/>
          <w:sz w:val="20"/>
          <w:szCs w:val="20"/>
        </w:rPr>
      </w:pPr>
      <w:r w:rsidRPr="00E61B0A">
        <w:rPr>
          <w:rFonts w:ascii="Century Gothic" w:hAnsi="Century Gothic" w:cs="Courier New"/>
          <w:b/>
          <w:color w:val="1F497D" w:themeColor="text2"/>
          <w:sz w:val="20"/>
          <w:szCs w:val="20"/>
        </w:rPr>
        <w:t>Anticipazione di Cassa</w:t>
      </w:r>
      <w:r w:rsidR="00A97A1E">
        <w:rPr>
          <w:rFonts w:ascii="Century Gothic" w:hAnsi="Century Gothic" w:cs="Courier New"/>
          <w:b/>
          <w:color w:val="1F497D" w:themeColor="text2"/>
          <w:sz w:val="20"/>
          <w:szCs w:val="20"/>
        </w:rPr>
        <w:t>:</w:t>
      </w:r>
    </w:p>
    <w:p w:rsidR="00E61B0A" w:rsidRPr="00E61B0A" w:rsidRDefault="00E61B0A" w:rsidP="00E61B0A">
      <w:pPr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Il t</w:t>
      </w:r>
      <w:r w:rsidRPr="00E61B0A">
        <w:rPr>
          <w:rFonts w:ascii="Century Gothic" w:hAnsi="Century Gothic" w:cs="Courier New"/>
          <w:color w:val="1F497D" w:themeColor="text2"/>
          <w:sz w:val="20"/>
          <w:szCs w:val="20"/>
        </w:rPr>
        <w:t>esoriere si impegnerà a concedere anticipazioni di cassa (entro il limite massimo fissato dallo Statuto approvato con DPCM del 5 giugno 2017 e dagli atti regolamentari interni)</w:t>
      </w:r>
      <w:r w:rsidR="00F36E11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Pr="00E61B0A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il cui utilizzo dovrà avvenire limitatamente alle somme strettamente necessarie a sopperire alle esigenze di cassa. L’ammontare dell’anticipazione si determinerà sulla base del bilancio di previsione annuale approvato/revisionato. </w:t>
      </w:r>
    </w:p>
    <w:p w:rsidR="00E61B0A" w:rsidRPr="00E61B0A" w:rsidRDefault="00E61B0A" w:rsidP="00E61B0A">
      <w:pPr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E61B0A">
        <w:rPr>
          <w:rFonts w:ascii="Century Gothic" w:hAnsi="Century Gothic" w:cs="Courier New"/>
          <w:color w:val="1F497D" w:themeColor="text2"/>
          <w:sz w:val="20"/>
          <w:szCs w:val="20"/>
        </w:rPr>
        <w:t>Sulle anticipazioni non sono previste spese e/o commissioni e gli interessi sulle anticipazioni di tesoreria decorrono dalla data di effettivo utilizzo delle somme.</w:t>
      </w:r>
    </w:p>
    <w:p w:rsidR="00E61B0A" w:rsidRPr="00E61B0A" w:rsidRDefault="00E61B0A" w:rsidP="00E61B0A">
      <w:pPr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Il</w:t>
      </w:r>
      <w:r w:rsidRPr="00E61B0A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t</w:t>
      </w:r>
      <w:r w:rsidRPr="00E61B0A">
        <w:rPr>
          <w:rFonts w:ascii="Century Gothic" w:hAnsi="Century Gothic" w:cs="Courier New"/>
          <w:color w:val="1F497D" w:themeColor="text2"/>
          <w:sz w:val="20"/>
          <w:szCs w:val="20"/>
        </w:rPr>
        <w:t>esoriere rilascerà, a richiesta, garanzie fideiussorie a favore di terzi creditori.</w:t>
      </w:r>
    </w:p>
    <w:p w:rsidR="002F096E" w:rsidRPr="00052599" w:rsidRDefault="00365596" w:rsidP="00650D03">
      <w:pPr>
        <w:numPr>
          <w:ilvl w:val="0"/>
          <w:numId w:val="34"/>
        </w:numPr>
        <w:spacing w:after="120" w:line="240" w:lineRule="auto"/>
        <w:jc w:val="both"/>
        <w:rPr>
          <w:rFonts w:ascii="Century Gothic" w:hAnsi="Century Gothic" w:cs="Courier New"/>
          <w:b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S</w:t>
      </w:r>
      <w:r w:rsidR="00ED1830"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ervizi </w:t>
      </w:r>
      <w:r w:rsidR="00D111AD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di incasso </w:t>
      </w:r>
      <w:r w:rsidR="003446F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strumentali </w:t>
      </w:r>
      <w:r w:rsidR="000D3E3E">
        <w:rPr>
          <w:rFonts w:ascii="Century Gothic" w:hAnsi="Century Gothic" w:cs="Courier New"/>
          <w:color w:val="1F497D" w:themeColor="text2"/>
          <w:sz w:val="20"/>
          <w:szCs w:val="20"/>
        </w:rPr>
        <w:t>all’attività di riscossione,</w:t>
      </w:r>
      <w:r w:rsidR="003446F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quali</w:t>
      </w:r>
      <w:r w:rsidR="000D3E3E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 titolo esemplificativo e non esaustivo</w:t>
      </w:r>
      <w:r w:rsidR="002F096E"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:</w:t>
      </w:r>
    </w:p>
    <w:p w:rsidR="002F096E" w:rsidRPr="00052599" w:rsidRDefault="000D3E3E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Operazioni su </w:t>
      </w:r>
      <w:r w:rsidR="00F36E11">
        <w:rPr>
          <w:rFonts w:ascii="Century Gothic" w:hAnsi="Century Gothic" w:cs="Courier New"/>
          <w:color w:val="1F497D" w:themeColor="text2"/>
          <w:sz w:val="20"/>
          <w:szCs w:val="20"/>
        </w:rPr>
        <w:t>c</w:t>
      </w:r>
      <w:r w:rsidR="00365596" w:rsidRPr="00052599">
        <w:rPr>
          <w:rFonts w:ascii="Century Gothic" w:hAnsi="Century Gothic" w:cs="Courier New"/>
          <w:color w:val="1F497D" w:themeColor="text2"/>
          <w:sz w:val="20"/>
          <w:szCs w:val="20"/>
        </w:rPr>
        <w:t>onti correnti</w:t>
      </w:r>
      <w:r w:rsidR="002F096E" w:rsidRPr="00052599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365596" w:rsidRPr="00052599" w:rsidRDefault="0002589F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Gestione incassi </w:t>
      </w:r>
      <w:r w:rsidR="00365596" w:rsidRPr="00052599">
        <w:rPr>
          <w:rFonts w:ascii="Century Gothic" w:hAnsi="Century Gothic" w:cs="Courier New"/>
          <w:color w:val="1F497D" w:themeColor="text2"/>
          <w:sz w:val="20"/>
          <w:szCs w:val="20"/>
        </w:rPr>
        <w:t>RAV;</w:t>
      </w:r>
    </w:p>
    <w:p w:rsidR="003446F1" w:rsidRPr="00052599" w:rsidRDefault="0002589F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Gestione incassi </w:t>
      </w:r>
      <w:r w:rsidR="003446F1" w:rsidRPr="00052599">
        <w:rPr>
          <w:rFonts w:ascii="Century Gothic" w:hAnsi="Century Gothic" w:cs="Courier New"/>
          <w:color w:val="1F497D" w:themeColor="text2"/>
          <w:sz w:val="20"/>
          <w:szCs w:val="20"/>
        </w:rPr>
        <w:t>F23;</w:t>
      </w:r>
    </w:p>
    <w:p w:rsidR="00471C8C" w:rsidRPr="00052599" w:rsidRDefault="0002589F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Gestione incassi con addebito in conto nella modalità </w:t>
      </w:r>
      <w:r w:rsidR="003F1BB5" w:rsidRPr="00052599">
        <w:rPr>
          <w:rFonts w:ascii="Century Gothic" w:hAnsi="Century Gothic" w:cs="Courier New"/>
          <w:color w:val="1F497D" w:themeColor="text2"/>
          <w:sz w:val="20"/>
          <w:szCs w:val="20"/>
        </w:rPr>
        <w:t>SDD</w:t>
      </w:r>
      <w:r w:rsidR="00FA493A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83017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CORE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con </w:t>
      </w:r>
      <w:r w:rsidR="0042736B" w:rsidRPr="00052599">
        <w:rPr>
          <w:rFonts w:ascii="Century Gothic" w:hAnsi="Century Gothic" w:cs="Courier New"/>
          <w:color w:val="1F497D" w:themeColor="text2"/>
          <w:sz w:val="20"/>
          <w:szCs w:val="20"/>
        </w:rPr>
        <w:t>attivazione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dei servizi </w:t>
      </w:r>
      <w:r w:rsidR="0083017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SEDA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B</w:t>
      </w:r>
      <w:r w:rsidR="0083017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ase </w:t>
      </w:r>
      <w:r w:rsidR="000D3E3E">
        <w:rPr>
          <w:rFonts w:ascii="Century Gothic" w:hAnsi="Century Gothic" w:cs="Courier New"/>
          <w:color w:val="1F497D" w:themeColor="text2"/>
          <w:sz w:val="20"/>
          <w:szCs w:val="20"/>
        </w:rPr>
        <w:t>e/o</w:t>
      </w:r>
      <w:r w:rsidR="0083017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SEDA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A</w:t>
      </w:r>
      <w:r w:rsidR="00830172" w:rsidRPr="00052599">
        <w:rPr>
          <w:rFonts w:ascii="Century Gothic" w:hAnsi="Century Gothic" w:cs="Courier New"/>
          <w:color w:val="1F497D" w:themeColor="text2"/>
          <w:sz w:val="20"/>
          <w:szCs w:val="20"/>
        </w:rPr>
        <w:t>vanzato</w:t>
      </w:r>
      <w:r w:rsidR="009D72F2" w:rsidRPr="00052599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B47B05" w:rsidRPr="00052599" w:rsidRDefault="000D3E3E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Operazioni mediante l’utilizzo di </w:t>
      </w:r>
      <w:r w:rsidR="003F1BB5" w:rsidRPr="00052599">
        <w:rPr>
          <w:rFonts w:ascii="Century Gothic" w:hAnsi="Century Gothic" w:cs="Courier New"/>
          <w:color w:val="1F497D" w:themeColor="text2"/>
          <w:sz w:val="20"/>
          <w:szCs w:val="20"/>
        </w:rPr>
        <w:t>POS fisici</w:t>
      </w:r>
      <w:r w:rsidR="00FA493A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aventi</w:t>
      </w:r>
      <w:r w:rsidR="00FA493A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le seguenti specifiche:</w:t>
      </w:r>
      <w:r w:rsidR="00E414D8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</w:p>
    <w:p w:rsidR="00B47B05" w:rsidRPr="00052599" w:rsidRDefault="00FA493A" w:rsidP="00906D71">
      <w:pPr>
        <w:pStyle w:val="Paragrafoelenco"/>
        <w:numPr>
          <w:ilvl w:val="2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d</w:t>
      </w:r>
      <w:r w:rsidR="00B47B0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otazione apparecchiature evolute </w:t>
      </w:r>
      <w:r w:rsidR="00BC548B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negli sportelli </w:t>
      </w:r>
      <w:r w:rsidR="00B47B05" w:rsidRPr="00052599">
        <w:rPr>
          <w:rFonts w:ascii="Century Gothic" w:hAnsi="Century Gothic" w:cs="Courier New"/>
          <w:color w:val="1F497D" w:themeColor="text2"/>
          <w:sz w:val="20"/>
          <w:szCs w:val="20"/>
        </w:rPr>
        <w:t>(firma elettronica e attivazione mandati SDD</w:t>
      </w:r>
      <w:r w:rsidR="008213E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2B0CAD" w:rsidRPr="00052599">
        <w:rPr>
          <w:rFonts w:ascii="Century Gothic" w:hAnsi="Century Gothic" w:cs="Courier New"/>
          <w:color w:val="1F497D" w:themeColor="text2"/>
          <w:sz w:val="20"/>
          <w:szCs w:val="20"/>
        </w:rPr>
        <w:t>elettronic</w:t>
      </w:r>
      <w:r w:rsidR="002B0CAD">
        <w:rPr>
          <w:rFonts w:ascii="Century Gothic" w:hAnsi="Century Gothic" w:cs="Courier New"/>
          <w:color w:val="1F497D" w:themeColor="text2"/>
          <w:sz w:val="20"/>
          <w:szCs w:val="20"/>
        </w:rPr>
        <w:t>i</w:t>
      </w:r>
      <w:r w:rsidR="00B47B05" w:rsidRPr="00052599">
        <w:rPr>
          <w:rFonts w:ascii="Century Gothic" w:hAnsi="Century Gothic" w:cs="Courier New"/>
          <w:color w:val="1F497D" w:themeColor="text2"/>
          <w:sz w:val="20"/>
          <w:szCs w:val="20"/>
        </w:rPr>
        <w:t>)</w:t>
      </w:r>
      <w:r w:rsidR="004D484E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B47B05" w:rsidRPr="00052599" w:rsidRDefault="00C55393" w:rsidP="00906D71">
      <w:pPr>
        <w:pStyle w:val="Paragrafoelenco"/>
        <w:numPr>
          <w:ilvl w:val="2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applicazione regime di </w:t>
      </w:r>
      <w:r w:rsidR="00FA493A" w:rsidRPr="00B47A25">
        <w:rPr>
          <w:rFonts w:ascii="Century Gothic" w:hAnsi="Century Gothic" w:cs="Courier New"/>
          <w:i/>
          <w:color w:val="1F497D" w:themeColor="text2"/>
          <w:sz w:val="20"/>
          <w:szCs w:val="20"/>
        </w:rPr>
        <w:t>b</w:t>
      </w:r>
      <w:r w:rsidR="00B47B05" w:rsidRPr="00B47A25">
        <w:rPr>
          <w:rFonts w:ascii="Century Gothic" w:hAnsi="Century Gothic" w:cs="Courier New"/>
          <w:i/>
          <w:color w:val="1F497D" w:themeColor="text2"/>
          <w:sz w:val="20"/>
          <w:szCs w:val="20"/>
        </w:rPr>
        <w:t>ill payment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alle transazioni</w:t>
      </w:r>
      <w:r w:rsidR="004D484E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B47B05" w:rsidRPr="00052599" w:rsidRDefault="00FA493A" w:rsidP="00906D71">
      <w:pPr>
        <w:pStyle w:val="Paragrafoelenco"/>
        <w:numPr>
          <w:ilvl w:val="2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i</w:t>
      </w:r>
      <w:r w:rsidR="00B47B0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ncassi tramite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b</w:t>
      </w:r>
      <w:r w:rsidR="00B47B05" w:rsidRPr="00052599">
        <w:rPr>
          <w:rFonts w:ascii="Century Gothic" w:hAnsi="Century Gothic" w:cs="Courier New"/>
          <w:color w:val="1F497D" w:themeColor="text2"/>
          <w:sz w:val="20"/>
          <w:szCs w:val="20"/>
        </w:rPr>
        <w:t>ancomat, carte di credito, debito e prepagate (</w:t>
      </w:r>
      <w:r w:rsidR="007C2355">
        <w:rPr>
          <w:rFonts w:ascii="Century Gothic" w:hAnsi="Century Gothic" w:cs="Courier New"/>
          <w:color w:val="1F497D" w:themeColor="text2"/>
          <w:sz w:val="20"/>
          <w:szCs w:val="20"/>
        </w:rPr>
        <w:t>tramite circuiti internazionali</w:t>
      </w:r>
      <w:r w:rsidR="00B47B05" w:rsidRPr="00052599">
        <w:rPr>
          <w:rFonts w:ascii="Century Gothic" w:hAnsi="Century Gothic" w:cs="Courier New"/>
          <w:color w:val="1F497D" w:themeColor="text2"/>
          <w:sz w:val="20"/>
          <w:szCs w:val="20"/>
        </w:rPr>
        <w:t>)</w:t>
      </w:r>
      <w:r w:rsidR="00BC548B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</w:t>
      </w:r>
      <w:r w:rsidR="00B47B05" w:rsidRPr="00052599">
        <w:rPr>
          <w:rFonts w:ascii="Century Gothic" w:hAnsi="Century Gothic" w:cs="Courier New"/>
          <w:color w:val="1F497D" w:themeColor="text2"/>
          <w:sz w:val="20"/>
          <w:szCs w:val="20"/>
        </w:rPr>
        <w:t>Postamat e Postepay;</w:t>
      </w:r>
    </w:p>
    <w:p w:rsidR="00DB32F6" w:rsidRPr="00052599" w:rsidRDefault="000D3E3E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Operazioni tramite “</w:t>
      </w:r>
      <w:r w:rsidR="008213E2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Sportello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ATM evoluto”</w:t>
      </w:r>
      <w:r w:rsidR="004D484E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:rsidR="00F72D9A" w:rsidRDefault="00F72D9A" w:rsidP="000E2765">
      <w:pPr>
        <w:ind w:firstLine="420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Si evidenzia che</w:t>
      </w:r>
      <w:r w:rsidR="000E276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è in corso la migrazione delle varie tipologie di </w:t>
      </w:r>
      <w:r w:rsidR="00B47A25">
        <w:rPr>
          <w:rFonts w:ascii="Century Gothic" w:hAnsi="Century Gothic" w:cs="Courier New"/>
          <w:color w:val="1F497D" w:themeColor="text2"/>
          <w:sz w:val="20"/>
          <w:szCs w:val="20"/>
        </w:rPr>
        <w:t>incasso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sulla piattaforma PagoPA, senza la necessità di attivar</w:t>
      </w:r>
      <w:r w:rsidR="000E2765" w:rsidRPr="00052599">
        <w:rPr>
          <w:rFonts w:ascii="Century Gothic" w:hAnsi="Century Gothic" w:cs="Courier New"/>
          <w:color w:val="1F497D" w:themeColor="text2"/>
          <w:sz w:val="20"/>
          <w:szCs w:val="20"/>
        </w:rPr>
        <w:t>e</w:t>
      </w:r>
      <w:r w:rsidR="00D2297C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da parte del tesoriere,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servizi di “intermediazione tecnologica” verso il nodo pagamenti di PagoPA.</w:t>
      </w:r>
    </w:p>
    <w:p w:rsidR="00E61B0A" w:rsidRPr="00052599" w:rsidRDefault="00E61B0A" w:rsidP="00E61B0A">
      <w:pPr>
        <w:numPr>
          <w:ilvl w:val="0"/>
          <w:numId w:val="34"/>
        </w:numPr>
        <w:spacing w:after="120" w:line="240" w:lineRule="auto"/>
        <w:jc w:val="both"/>
        <w:rPr>
          <w:rFonts w:ascii="Century Gothic" w:hAnsi="Century Gothic" w:cs="Courier New"/>
          <w:b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lastRenderedPageBreak/>
        <w:t xml:space="preserve">Servizi di pagamento </w:t>
      </w:r>
      <w:r w:rsidRPr="00A97A1E">
        <w:rPr>
          <w:rFonts w:ascii="Century Gothic" w:hAnsi="Century Gothic" w:cs="Courier New"/>
          <w:color w:val="1F497D" w:themeColor="text2"/>
          <w:sz w:val="20"/>
          <w:szCs w:val="20"/>
        </w:rPr>
        <w:t>da erogare tramite conti correnti dedicati</w:t>
      </w:r>
      <w:r w:rsidR="00A97A1E" w:rsidRPr="00A97A1E">
        <w:rPr>
          <w:rFonts w:ascii="Century Gothic" w:hAnsi="Century Gothic" w:cs="Courier New"/>
          <w:color w:val="1F497D" w:themeColor="text2"/>
          <w:sz w:val="20"/>
          <w:szCs w:val="20"/>
        </w:rPr>
        <w:t>:</w:t>
      </w: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 </w:t>
      </w:r>
    </w:p>
    <w:p w:rsidR="00E61B0A" w:rsidRPr="00052599" w:rsidRDefault="00E61B0A" w:rsidP="00E61B0A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Bonifici per riversamenti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(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principalmente vs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la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Tesoreria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S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tatale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)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da eseguire in valuta compensata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E61B0A" w:rsidRPr="00052599" w:rsidRDefault="00E61B0A" w:rsidP="00E61B0A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Bonifici per pagamenti a fornitori e stipendi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E61B0A" w:rsidRPr="00052599" w:rsidRDefault="00E61B0A" w:rsidP="00E61B0A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Disposizioni cartacee per versamenti </w:t>
      </w:r>
      <w:r w:rsidR="00B47A25">
        <w:rPr>
          <w:rFonts w:ascii="Century Gothic" w:hAnsi="Century Gothic" w:cs="Courier New"/>
          <w:color w:val="1F497D" w:themeColor="text2"/>
          <w:sz w:val="20"/>
          <w:szCs w:val="20"/>
        </w:rPr>
        <w:t>F24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(procedura VEUNORD)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E61B0A" w:rsidRPr="00052599" w:rsidRDefault="00E61B0A" w:rsidP="00E61B0A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F24 e altri strumenti di pagamento (ccp, rav, mav e altri)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E61B0A" w:rsidRPr="00052599" w:rsidRDefault="00E61B0A" w:rsidP="00E61B0A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SDD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E61B0A" w:rsidRPr="00052599" w:rsidRDefault="00E61B0A" w:rsidP="00E61B0A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Emissione assegni esteri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E61B0A" w:rsidRPr="00052599" w:rsidRDefault="00E61B0A" w:rsidP="00E61B0A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Emissione assegni circolari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(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con consegna presso le ns sedi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);</w:t>
      </w:r>
    </w:p>
    <w:p w:rsidR="00E61B0A" w:rsidRPr="00052599" w:rsidRDefault="00E61B0A" w:rsidP="00E61B0A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Emission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e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assegni di traenza con invio ai beneficiari tramite servizio postale rapido (entro 48 ore ovvero 24 ore nelle città metropolitane):</w:t>
      </w:r>
    </w:p>
    <w:p w:rsidR="00E61B0A" w:rsidRPr="00052599" w:rsidRDefault="00E61B0A" w:rsidP="00E61B0A">
      <w:pPr>
        <w:pStyle w:val="Paragrafoelenco"/>
        <w:numPr>
          <w:ilvl w:val="2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assegno di traenza con microperforatura laser;</w:t>
      </w:r>
    </w:p>
    <w:p w:rsidR="00E61B0A" w:rsidRPr="00052599" w:rsidRDefault="00E61B0A" w:rsidP="00E61B0A">
      <w:pPr>
        <w:pStyle w:val="Paragrafoelenco"/>
        <w:numPr>
          <w:ilvl w:val="2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lettera accompagnatoria valorizzata con testo personalizzato;</w:t>
      </w:r>
    </w:p>
    <w:p w:rsidR="00E61B0A" w:rsidRPr="00052599" w:rsidRDefault="00E61B0A" w:rsidP="00E61B0A">
      <w:pPr>
        <w:pStyle w:val="Paragrafoelenco"/>
        <w:numPr>
          <w:ilvl w:val="2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tracciatura della spedizione;</w:t>
      </w:r>
    </w:p>
    <w:p w:rsidR="00E61B0A" w:rsidRPr="00052599" w:rsidRDefault="00E61B0A" w:rsidP="00E61B0A">
      <w:pPr>
        <w:pStyle w:val="Paragrafoelenco"/>
        <w:numPr>
          <w:ilvl w:val="2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messa a disposizione del documento di avvenuta consegna (a richiesta)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ovvero accesso ad un archivio digitale con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documentazione sostitutiva e gestione amministrativa del mancato recapito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(compreso annullamento del titolo)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E61B0A" w:rsidRPr="00052599" w:rsidRDefault="00E61B0A" w:rsidP="00E61B0A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Delegazione pagamenti mutui e finanziamenti;</w:t>
      </w:r>
    </w:p>
    <w:p w:rsidR="00E61B0A" w:rsidRPr="00052599" w:rsidRDefault="00E61B0A" w:rsidP="00E61B0A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Messa a disposizione di un numero limitato di carte di credito prepagate a supporto dei pagamenti delle casse economali;</w:t>
      </w:r>
    </w:p>
    <w:p w:rsidR="00E61B0A" w:rsidRPr="00052599" w:rsidRDefault="00E61B0A" w:rsidP="00E61B0A">
      <w:p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9E5902">
        <w:rPr>
          <w:rFonts w:ascii="Century Gothic" w:hAnsi="Century Gothic" w:cs="Courier New"/>
          <w:color w:val="1F497D" w:themeColor="text2"/>
          <w:sz w:val="20"/>
          <w:szCs w:val="20"/>
        </w:rPr>
        <w:t xml:space="preserve">I pagamenti saranno disposti telematicamente </w:t>
      </w:r>
      <w:r w:rsidR="00B47A25">
        <w:rPr>
          <w:rFonts w:ascii="Century Gothic" w:hAnsi="Century Gothic" w:cs="Courier New"/>
          <w:color w:val="1F497D" w:themeColor="text2"/>
          <w:sz w:val="20"/>
          <w:szCs w:val="20"/>
        </w:rPr>
        <w:t>e residualmente</w:t>
      </w:r>
      <w:r w:rsidRPr="009E590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tramite disposizioni cartacee trasmesse con posta elettronica</w:t>
      </w:r>
      <w:r w:rsidR="00B47A25">
        <w:rPr>
          <w:rFonts w:ascii="Century Gothic" w:hAnsi="Century Gothic" w:cs="Courier New"/>
          <w:color w:val="1F497D" w:themeColor="text2"/>
          <w:sz w:val="20"/>
          <w:szCs w:val="20"/>
        </w:rPr>
        <w:t xml:space="preserve"> certificata</w:t>
      </w:r>
      <w:r w:rsidRPr="009E590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e firma digitale.</w:t>
      </w:r>
    </w:p>
    <w:p w:rsidR="002F096E" w:rsidRPr="00052599" w:rsidRDefault="00E37B03" w:rsidP="0070755B">
      <w:pPr>
        <w:numPr>
          <w:ilvl w:val="0"/>
          <w:numId w:val="34"/>
        </w:numPr>
        <w:spacing w:after="120" w:line="240" w:lineRule="auto"/>
        <w:jc w:val="both"/>
        <w:rPr>
          <w:rFonts w:ascii="Century Gothic" w:hAnsi="Century Gothic" w:cs="Courier New"/>
          <w:b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Servizi di ritiro</w:t>
      </w:r>
      <w:r w:rsidR="00EB76BA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 e</w:t>
      </w: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 </w:t>
      </w:r>
      <w:r w:rsidR="00893D0A">
        <w:rPr>
          <w:rFonts w:ascii="Century Gothic" w:hAnsi="Century Gothic" w:cs="Courier New"/>
          <w:b/>
          <w:color w:val="1F497D" w:themeColor="text2"/>
          <w:sz w:val="20"/>
          <w:szCs w:val="20"/>
        </w:rPr>
        <w:t>trasporto</w:t>
      </w:r>
      <w:r w:rsidR="00EB76BA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 valori</w:t>
      </w:r>
      <w:r w:rsidR="00350962">
        <w:rPr>
          <w:rFonts w:ascii="Century Gothic" w:hAnsi="Century Gothic" w:cs="Courier New"/>
          <w:b/>
          <w:color w:val="1F497D" w:themeColor="text2"/>
          <w:sz w:val="20"/>
          <w:szCs w:val="20"/>
        </w:rPr>
        <w:t>,</w:t>
      </w:r>
      <w:r w:rsidR="00893D0A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a</w:t>
      </w:r>
      <w:r w:rsidR="003F1BB5"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mministrazione e custodia titoli e valori</w:t>
      </w:r>
      <w:r w:rsidR="00BC548B" w:rsidRPr="004D484E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893D0A" w:rsidRPr="00350962">
        <w:rPr>
          <w:rFonts w:ascii="Century Gothic" w:hAnsi="Century Gothic" w:cs="Courier New"/>
          <w:b/>
          <w:color w:val="1F497D" w:themeColor="text2"/>
          <w:sz w:val="20"/>
          <w:szCs w:val="20"/>
        </w:rPr>
        <w:t>riscossi</w:t>
      </w:r>
      <w:r w:rsidR="002F096E"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:</w:t>
      </w:r>
    </w:p>
    <w:p w:rsidR="00337956" w:rsidRPr="00052599" w:rsidRDefault="00337956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Deposito amministrato per gestione titoli</w:t>
      </w:r>
      <w:r w:rsidR="00350962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427F00" w:rsidRPr="00052599" w:rsidRDefault="00427F00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Servizio di ritiro valori</w:t>
      </w:r>
      <w:r w:rsidR="000E276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e contazione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:</w:t>
      </w:r>
    </w:p>
    <w:p w:rsidR="00427F00" w:rsidRPr="00052599" w:rsidRDefault="00427F00" w:rsidP="00906D71">
      <w:pPr>
        <w:pStyle w:val="Paragrafoelenco"/>
        <w:numPr>
          <w:ilvl w:val="2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prelievo, trasporto e custodia dei valori</w:t>
      </w:r>
      <w:r w:rsidR="004D484E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(denaro e titoli di credito) nelle modalità per l’espletamento dei servizi disciplinate dalla normativa vigente </w:t>
      </w:r>
      <w:r w:rsidR="000E65D2" w:rsidRPr="00052599">
        <w:rPr>
          <w:rFonts w:ascii="Century Gothic" w:hAnsi="Century Gothic" w:cs="Courier New"/>
          <w:color w:val="1F497D" w:themeColor="text2"/>
          <w:sz w:val="20"/>
          <w:szCs w:val="20"/>
        </w:rPr>
        <w:t>(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DM 269/2010</w:t>
      </w:r>
      <w:r w:rsidR="000E65D2" w:rsidRPr="00052599">
        <w:rPr>
          <w:rFonts w:ascii="Century Gothic" w:hAnsi="Century Gothic" w:cs="Courier New"/>
          <w:color w:val="1F497D" w:themeColor="text2"/>
          <w:sz w:val="20"/>
          <w:szCs w:val="20"/>
        </w:rPr>
        <w:t>)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1F3F9C" w:rsidRPr="00052599" w:rsidRDefault="00427F00" w:rsidP="00906D71">
      <w:pPr>
        <w:pStyle w:val="Paragrafoelenco"/>
        <w:numPr>
          <w:ilvl w:val="2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contazione di </w:t>
      </w:r>
      <w:r w:rsidR="00E234D6" w:rsidRPr="00052599">
        <w:rPr>
          <w:rFonts w:ascii="Century Gothic" w:hAnsi="Century Gothic" w:cs="Courier New"/>
          <w:color w:val="1F497D" w:themeColor="text2"/>
          <w:sz w:val="20"/>
          <w:szCs w:val="20"/>
        </w:rPr>
        <w:t>contanti e assegni (bancari, circolari, postali, vidimati, vaglia e assegni esteri)</w:t>
      </w:r>
      <w:r w:rsidR="004D484E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FA493A" w:rsidRPr="00052599" w:rsidRDefault="00427F00" w:rsidP="00906D71">
      <w:pPr>
        <w:pStyle w:val="Paragrafoelenco"/>
        <w:numPr>
          <w:ilvl w:val="2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verifica in ordine alla regolarità dei titoli di credito</w:t>
      </w:r>
      <w:r w:rsidR="00FA493A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(presenza, completezza e correttezza degli elementi formali essenziali)</w:t>
      </w:r>
      <w:r w:rsidR="004D484E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8F1CFF" w:rsidRPr="00052599" w:rsidRDefault="00E234D6" w:rsidP="00906D71">
      <w:pPr>
        <w:pStyle w:val="Paragrafoelenco"/>
        <w:numPr>
          <w:ilvl w:val="2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a</w:t>
      </w:r>
      <w:r w:rsidR="001F3F9C" w:rsidRPr="00052599">
        <w:rPr>
          <w:rFonts w:ascii="Century Gothic" w:hAnsi="Century Gothic" w:cs="Courier New"/>
          <w:color w:val="1F497D" w:themeColor="text2"/>
          <w:sz w:val="20"/>
          <w:szCs w:val="20"/>
        </w:rPr>
        <w:t>ccreditamento</w:t>
      </w:r>
      <w:r w:rsidR="00B47A25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sul conto corrente</w:t>
      </w:r>
      <w:r w:rsidR="00FA493A" w:rsidRPr="00052599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427F00" w:rsidRPr="00052599" w:rsidRDefault="00427F00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Servizio di trasporto di moneta metallica e banconote per il rifornimento de</w:t>
      </w:r>
      <w:r w:rsidR="00FA493A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gli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sportelli;</w:t>
      </w:r>
    </w:p>
    <w:p w:rsidR="00427F00" w:rsidRPr="00052599" w:rsidRDefault="00427F00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Servizi di affiancamento manutentori mezzi forti </w:t>
      </w:r>
      <w:r w:rsidR="009449F7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 proprietà della Contraente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qualora la </w:t>
      </w:r>
      <w:r w:rsidR="009449F7" w:rsidRPr="00052599">
        <w:rPr>
          <w:rFonts w:ascii="Century Gothic" w:hAnsi="Century Gothic" w:cs="Courier New"/>
          <w:color w:val="1F497D" w:themeColor="text2"/>
          <w:sz w:val="20"/>
          <w:szCs w:val="20"/>
        </w:rPr>
        <w:t>stessa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disponga interventi di manutenzione preso i propri sportelli</w:t>
      </w:r>
      <w:r w:rsidR="004D484E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5A32FE" w:rsidRPr="004D484E" w:rsidRDefault="004D484E" w:rsidP="005A32FE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4B3144">
        <w:rPr>
          <w:rFonts w:ascii="Century Gothic" w:hAnsi="Century Gothic" w:cs="Courier New"/>
          <w:i/>
          <w:color w:val="1F497D" w:themeColor="text2"/>
          <w:sz w:val="20"/>
          <w:szCs w:val="20"/>
          <w:u w:val="single"/>
        </w:rPr>
        <w:t>(OPZIONALE rispetto al servizio di ritiro e contazione)</w:t>
      </w:r>
      <w:r w:rsidRPr="004D484E">
        <w:rPr>
          <w:rFonts w:ascii="Century Gothic" w:hAnsi="Century Gothic" w:cs="Courier New"/>
          <w:color w:val="1F497D" w:themeColor="text2"/>
          <w:sz w:val="20"/>
          <w:szCs w:val="20"/>
        </w:rPr>
        <w:t>: g</w:t>
      </w:r>
      <w:r w:rsidR="0070755B" w:rsidRPr="004D484E">
        <w:rPr>
          <w:rFonts w:ascii="Century Gothic" w:hAnsi="Century Gothic" w:cs="Courier New"/>
          <w:color w:val="1F497D" w:themeColor="text2"/>
          <w:sz w:val="20"/>
          <w:szCs w:val="20"/>
        </w:rPr>
        <w:t>estione de</w:t>
      </w:r>
      <w:r w:rsidR="00B47A25">
        <w:rPr>
          <w:rFonts w:ascii="Century Gothic" w:hAnsi="Century Gothic" w:cs="Courier New"/>
          <w:color w:val="1F497D" w:themeColor="text2"/>
          <w:sz w:val="20"/>
          <w:szCs w:val="20"/>
        </w:rPr>
        <w:t>i valori</w:t>
      </w:r>
      <w:r w:rsidR="0070755B" w:rsidRPr="004D484E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 ciclo chiuso mediante </w:t>
      </w:r>
      <w:r w:rsidR="005A32FE" w:rsidRPr="004D484E">
        <w:rPr>
          <w:rFonts w:ascii="Century Gothic" w:hAnsi="Century Gothic" w:cs="Courier New"/>
          <w:color w:val="1F497D" w:themeColor="text2"/>
          <w:sz w:val="20"/>
          <w:szCs w:val="20"/>
        </w:rPr>
        <w:t xml:space="preserve">mezzi forti intelligenti (con contazione e accredito valori in giornata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e </w:t>
      </w:r>
      <w:r w:rsidR="005A32FE" w:rsidRPr="004D484E">
        <w:rPr>
          <w:rFonts w:ascii="Century Gothic" w:hAnsi="Century Gothic" w:cs="Courier New"/>
          <w:color w:val="1F497D" w:themeColor="text2"/>
          <w:sz w:val="20"/>
          <w:szCs w:val="20"/>
        </w:rPr>
        <w:t xml:space="preserve">programmazione ritiro) </w:t>
      </w:r>
      <w:r w:rsidR="0070755B" w:rsidRPr="004D484E">
        <w:rPr>
          <w:rFonts w:ascii="Century Gothic" w:hAnsi="Century Gothic" w:cs="Courier New"/>
          <w:color w:val="1F497D" w:themeColor="text2"/>
          <w:sz w:val="20"/>
          <w:szCs w:val="20"/>
        </w:rPr>
        <w:t>ed apparecchiature da sportello strumentali al versamento valori (verifica falsi e filmatura assegni)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E22FBF" w:rsidRPr="00052599" w:rsidRDefault="00E22FBF" w:rsidP="004D484E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Servizio di gestione accentrata </w:t>
      </w:r>
      <w:r w:rsidR="004D484E">
        <w:rPr>
          <w:rFonts w:ascii="Century Gothic" w:hAnsi="Century Gothic" w:cs="Courier New"/>
          <w:color w:val="1F497D" w:themeColor="text2"/>
          <w:sz w:val="20"/>
          <w:szCs w:val="20"/>
        </w:rPr>
        <w:t xml:space="preserve">degli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insoluti ovvero </w:t>
      </w:r>
      <w:r w:rsidR="004D484E">
        <w:rPr>
          <w:rFonts w:ascii="Century Gothic" w:hAnsi="Century Gothic" w:cs="Courier New"/>
          <w:color w:val="1F497D" w:themeColor="text2"/>
          <w:sz w:val="20"/>
          <w:szCs w:val="20"/>
        </w:rPr>
        <w:t xml:space="preserve">del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mancato buon fine (</w:t>
      </w:r>
      <w:r w:rsidR="00F372A7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gestione delle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relazion</w:t>
      </w:r>
      <w:r w:rsidR="00F372A7" w:rsidRPr="00052599">
        <w:rPr>
          <w:rFonts w:ascii="Century Gothic" w:hAnsi="Century Gothic" w:cs="Courier New"/>
          <w:color w:val="1F497D" w:themeColor="text2"/>
          <w:sz w:val="20"/>
          <w:szCs w:val="20"/>
        </w:rPr>
        <w:t>i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con banca traente per regolarizzare l’incasso);</w:t>
      </w:r>
    </w:p>
    <w:p w:rsidR="00E22FBF" w:rsidRPr="00052599" w:rsidRDefault="00E22FBF" w:rsidP="00E22FBF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lastRenderedPageBreak/>
        <w:t>Messa a disposizione di</w:t>
      </w:r>
      <w:r w:rsidR="00380010">
        <w:rPr>
          <w:rFonts w:ascii="Century Gothic" w:hAnsi="Century Gothic" w:cs="Courier New"/>
          <w:color w:val="1F497D" w:themeColor="text2"/>
          <w:sz w:val="20"/>
          <w:szCs w:val="20"/>
        </w:rPr>
        <w:t xml:space="preserve"> un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0D6E35">
        <w:rPr>
          <w:rFonts w:ascii="Century Gothic" w:hAnsi="Century Gothic" w:cs="Courier New"/>
          <w:color w:val="1F497D" w:themeColor="text2"/>
          <w:sz w:val="20"/>
          <w:szCs w:val="20"/>
        </w:rPr>
        <w:t>sistema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gestionale a supporto delle operazioni di </w:t>
      </w:r>
      <w:r w:rsidR="00893D0A">
        <w:rPr>
          <w:rFonts w:ascii="Century Gothic" w:hAnsi="Century Gothic" w:cs="Courier New"/>
          <w:color w:val="1F497D" w:themeColor="text2"/>
          <w:sz w:val="20"/>
          <w:szCs w:val="20"/>
        </w:rPr>
        <w:t>trasporto, contazione</w:t>
      </w:r>
      <w:r w:rsidR="00893D0A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893D0A">
        <w:rPr>
          <w:rFonts w:ascii="Century Gothic" w:hAnsi="Century Gothic" w:cs="Courier New"/>
          <w:color w:val="1F497D" w:themeColor="text2"/>
          <w:sz w:val="20"/>
          <w:szCs w:val="20"/>
        </w:rPr>
        <w:t xml:space="preserve">e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versamento valori e monitoraggio</w:t>
      </w:r>
      <w:r w:rsidR="00380010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dell’</w:t>
      </w:r>
      <w:r w:rsidR="004D484E">
        <w:rPr>
          <w:rFonts w:ascii="Century Gothic" w:hAnsi="Century Gothic" w:cs="Courier New"/>
          <w:color w:val="1F497D" w:themeColor="text2"/>
          <w:sz w:val="20"/>
          <w:szCs w:val="20"/>
        </w:rPr>
        <w:t>accredito.</w:t>
      </w:r>
    </w:p>
    <w:p w:rsidR="00E03A2B" w:rsidRPr="00052599" w:rsidRDefault="00E03A2B" w:rsidP="00650D03">
      <w:pPr>
        <w:numPr>
          <w:ilvl w:val="0"/>
          <w:numId w:val="34"/>
        </w:numPr>
        <w:spacing w:after="120" w:line="240" w:lineRule="auto"/>
        <w:jc w:val="both"/>
        <w:rPr>
          <w:rFonts w:ascii="Century Gothic" w:hAnsi="Century Gothic" w:cs="Courier New"/>
          <w:b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Servizi</w:t>
      </w:r>
      <w:r w:rsidR="00212F65"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 accessori</w:t>
      </w: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 </w:t>
      </w:r>
      <w:r w:rsidR="006F646D"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>alla gestione degli incassi e dei pagamenti</w:t>
      </w:r>
      <w:r w:rsidR="00A97A1E">
        <w:rPr>
          <w:rFonts w:ascii="Century Gothic" w:hAnsi="Century Gothic" w:cs="Courier New"/>
          <w:b/>
          <w:color w:val="1F497D" w:themeColor="text2"/>
          <w:sz w:val="20"/>
          <w:szCs w:val="20"/>
        </w:rPr>
        <w:t>:</w:t>
      </w:r>
    </w:p>
    <w:p w:rsidR="00491325" w:rsidRPr="00052599" w:rsidRDefault="00491325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Servizi informatici evoluti di gestione bancaria (portale di remote banking)</w:t>
      </w:r>
      <w:r w:rsidR="009E5902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A46180" w:rsidRPr="00052599" w:rsidRDefault="00A46180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Flussi di rendicontazione</w:t>
      </w:r>
      <w:r w:rsidR="0055420F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incassi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513E2F" w:rsidRPr="00052599">
        <w:rPr>
          <w:rFonts w:ascii="Century Gothic" w:hAnsi="Century Gothic" w:cs="Courier New"/>
          <w:color w:val="1F497D" w:themeColor="text2"/>
          <w:sz w:val="20"/>
          <w:szCs w:val="20"/>
        </w:rPr>
        <w:t>(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RAV, POS, SDD, F23</w:t>
      </w:r>
      <w:r w:rsidR="00E61B0A">
        <w:rPr>
          <w:rFonts w:ascii="Century Gothic" w:hAnsi="Century Gothic" w:cs="Courier New"/>
          <w:color w:val="1F497D" w:themeColor="text2"/>
          <w:sz w:val="20"/>
          <w:szCs w:val="20"/>
        </w:rPr>
        <w:t xml:space="preserve"> e altri</w:t>
      </w:r>
      <w:r w:rsidR="006C7DFD" w:rsidRPr="00052599">
        <w:rPr>
          <w:rFonts w:ascii="Century Gothic" w:hAnsi="Century Gothic" w:cs="Courier New"/>
          <w:color w:val="1F497D" w:themeColor="text2"/>
          <w:sz w:val="20"/>
          <w:szCs w:val="20"/>
        </w:rPr>
        <w:t>)</w:t>
      </w:r>
      <w:r w:rsidR="009E5902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55420F" w:rsidRPr="00052599" w:rsidRDefault="0055420F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Flussi di rendicontazione pagamenti (esiti bonifici, quietanze F24, </w:t>
      </w:r>
      <w:r w:rsidR="00471C8C" w:rsidRPr="00052599">
        <w:rPr>
          <w:rFonts w:ascii="Century Gothic" w:hAnsi="Century Gothic" w:cs="Courier New"/>
          <w:color w:val="1F497D" w:themeColor="text2"/>
          <w:sz w:val="20"/>
          <w:szCs w:val="20"/>
        </w:rPr>
        <w:t>assegni</w:t>
      </w:r>
      <w:r w:rsidR="004D75E4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e altri</w:t>
      </w:r>
      <w:r w:rsidR="00513E2F" w:rsidRPr="00052599">
        <w:rPr>
          <w:rFonts w:ascii="Century Gothic" w:hAnsi="Century Gothic" w:cs="Courier New"/>
          <w:color w:val="1F497D" w:themeColor="text2"/>
          <w:sz w:val="20"/>
          <w:szCs w:val="20"/>
        </w:rPr>
        <w:t>)</w:t>
      </w:r>
      <w:r w:rsidR="009E5902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212F65" w:rsidRPr="00052599" w:rsidRDefault="00212F65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Canali di trasmissione</w:t>
      </w:r>
      <w:r w:rsidR="00A46180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dei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flussi</w:t>
      </w:r>
      <w:r w:rsidR="0036376B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rendicontazione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in</w:t>
      </w:r>
      <w:r w:rsidR="0036376B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modalità protetta</w:t>
      </w:r>
      <w:r w:rsidR="009E5902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471C8C" w:rsidRPr="00052599" w:rsidRDefault="00381A35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9E5902">
        <w:rPr>
          <w:rFonts w:ascii="Century Gothic" w:hAnsi="Century Gothic" w:cs="Courier New"/>
          <w:color w:val="1F497D" w:themeColor="text2"/>
          <w:sz w:val="20"/>
          <w:szCs w:val="20"/>
        </w:rPr>
        <w:t>Serviz</w:t>
      </w:r>
      <w:r w:rsidR="00C94ACD" w:rsidRPr="009E5902">
        <w:rPr>
          <w:rFonts w:ascii="Century Gothic" w:hAnsi="Century Gothic" w:cs="Courier New"/>
          <w:color w:val="1F497D" w:themeColor="text2"/>
          <w:sz w:val="20"/>
          <w:szCs w:val="20"/>
        </w:rPr>
        <w:t>i</w:t>
      </w:r>
      <w:r w:rsidRPr="009E590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g</w:t>
      </w:r>
      <w:r w:rsidR="00E03A2B" w:rsidRPr="009E5902">
        <w:rPr>
          <w:rFonts w:ascii="Century Gothic" w:hAnsi="Century Gothic" w:cs="Courier New"/>
          <w:color w:val="1F497D" w:themeColor="text2"/>
          <w:sz w:val="20"/>
          <w:szCs w:val="20"/>
        </w:rPr>
        <w:t>estione finanziari</w:t>
      </w:r>
      <w:r w:rsidR="00EA4F56" w:rsidRPr="009E5902">
        <w:rPr>
          <w:rFonts w:ascii="Century Gothic" w:hAnsi="Century Gothic" w:cs="Courier New"/>
          <w:color w:val="1F497D" w:themeColor="text2"/>
          <w:sz w:val="20"/>
          <w:szCs w:val="20"/>
        </w:rPr>
        <w:t>a</w:t>
      </w:r>
      <w:r w:rsidR="00E03A2B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362CC1">
        <w:rPr>
          <w:rFonts w:ascii="Century Gothic" w:hAnsi="Century Gothic" w:cs="Courier New"/>
          <w:color w:val="1F497D" w:themeColor="text2"/>
          <w:sz w:val="20"/>
          <w:szCs w:val="20"/>
        </w:rPr>
        <w:t>de</w:t>
      </w:r>
      <w:r w:rsidR="00362CC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lle </w:t>
      </w:r>
      <w:r w:rsidR="00E03A2B" w:rsidRPr="00052599">
        <w:rPr>
          <w:rFonts w:ascii="Century Gothic" w:hAnsi="Century Gothic" w:cs="Courier New"/>
          <w:color w:val="1F497D" w:themeColor="text2"/>
          <w:sz w:val="20"/>
          <w:szCs w:val="20"/>
        </w:rPr>
        <w:t>disponibilità presenti su</w:t>
      </w:r>
      <w:r w:rsidR="004B4754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 conti correnti postali e </w:t>
      </w:r>
      <w:r w:rsidR="00362CC1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 </w:t>
      </w:r>
      <w:r w:rsidR="004B4754" w:rsidRPr="00052599">
        <w:rPr>
          <w:rFonts w:ascii="Century Gothic" w:hAnsi="Century Gothic" w:cs="Courier New"/>
          <w:color w:val="1F497D" w:themeColor="text2"/>
          <w:sz w:val="20"/>
          <w:szCs w:val="20"/>
        </w:rPr>
        <w:t>altre banche</w:t>
      </w:r>
      <w:r w:rsidR="00471C8C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4D75E4" w:rsidRPr="00052599">
        <w:rPr>
          <w:rFonts w:ascii="Century Gothic" w:hAnsi="Century Gothic" w:cs="Courier New"/>
          <w:color w:val="1F497D" w:themeColor="text2"/>
          <w:sz w:val="20"/>
          <w:szCs w:val="20"/>
        </w:rPr>
        <w:t>(</w:t>
      </w:r>
      <w:r w:rsidR="009E5902">
        <w:rPr>
          <w:rFonts w:ascii="Century Gothic" w:hAnsi="Century Gothic" w:cs="Courier New"/>
          <w:color w:val="1F497D" w:themeColor="text2"/>
          <w:sz w:val="20"/>
          <w:szCs w:val="20"/>
        </w:rPr>
        <w:t xml:space="preserve">con </w:t>
      </w:r>
      <w:r w:rsidR="004D75E4" w:rsidRPr="00052599">
        <w:rPr>
          <w:rFonts w:ascii="Century Gothic" w:hAnsi="Century Gothic" w:cs="Courier New"/>
          <w:color w:val="1F497D" w:themeColor="text2"/>
          <w:sz w:val="20"/>
          <w:szCs w:val="20"/>
        </w:rPr>
        <w:t>esercizio della firma di traenza)</w:t>
      </w:r>
      <w:r w:rsidR="009E5902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9E5902" w:rsidRDefault="006A2CC5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Servizi di banca passiva</w:t>
      </w:r>
      <w:r w:rsidR="00334580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(gestione accentrata dei residui rapporti con altre banche)</w:t>
      </w:r>
      <w:r w:rsidR="009E5902">
        <w:rPr>
          <w:rFonts w:ascii="Century Gothic" w:hAnsi="Century Gothic" w:cs="Courier New"/>
          <w:color w:val="1F497D" w:themeColor="text2"/>
          <w:sz w:val="20"/>
          <w:szCs w:val="20"/>
        </w:rPr>
        <w:t>;</w:t>
      </w:r>
    </w:p>
    <w:p w:rsidR="000060A1" w:rsidRPr="00052599" w:rsidRDefault="000060A1" w:rsidP="00906D71">
      <w:pPr>
        <w:pStyle w:val="Paragrafoelenco"/>
        <w:numPr>
          <w:ilvl w:val="1"/>
          <w:numId w:val="29"/>
        </w:numPr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Servizi</w:t>
      </w:r>
      <w:r w:rsidR="004D75E4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o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 customer care </w:t>
      </w:r>
      <w:r w:rsidR="00380010" w:rsidRPr="0032539F">
        <w:rPr>
          <w:rFonts w:ascii="Century Gothic" w:hAnsi="Century Gothic" w:cs="Courier New"/>
          <w:color w:val="1F497D" w:themeColor="text2"/>
          <w:sz w:val="20"/>
          <w:szCs w:val="20"/>
        </w:rPr>
        <w:t>per canale tematico</w:t>
      </w:r>
      <w:r w:rsidR="00380010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a supporto dei </w:t>
      </w:r>
      <w:r w:rsidR="006C7DF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diversi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servizi</w:t>
      </w:r>
      <w:r w:rsidR="006C7DFD" w:rsidRPr="00052599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:rsidR="003849A2" w:rsidRPr="00052599" w:rsidRDefault="001E19D5" w:rsidP="001E19D5">
      <w:pPr>
        <w:ind w:firstLine="567"/>
        <w:jc w:val="center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*****</w:t>
      </w:r>
    </w:p>
    <w:p w:rsidR="00ED6597" w:rsidRDefault="002F096E" w:rsidP="00B1226A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Il costo </w:t>
      </w:r>
      <w:r w:rsidR="000D6E35">
        <w:rPr>
          <w:rFonts w:ascii="Century Gothic" w:hAnsi="Century Gothic" w:cs="Courier New"/>
          <w:color w:val="1F497D" w:themeColor="text2"/>
          <w:sz w:val="20"/>
          <w:szCs w:val="20"/>
        </w:rPr>
        <w:t>complessivo per i</w:t>
      </w:r>
      <w:r w:rsidR="001E19D5" w:rsidRPr="004B3144">
        <w:rPr>
          <w:rFonts w:ascii="Century Gothic" w:hAnsi="Century Gothic" w:cs="Courier New"/>
          <w:color w:val="1F497D" w:themeColor="text2"/>
          <w:sz w:val="20"/>
          <w:szCs w:val="20"/>
        </w:rPr>
        <w:t>l servizio</w:t>
      </w:r>
      <w:r w:rsidR="000D6E35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per </w:t>
      </w:r>
      <w:r w:rsidR="00EF4096"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una durata </w:t>
      </w:r>
      <w:r w:rsidR="00E55C06"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quinquennale </w:t>
      </w:r>
      <w:r w:rsidR="000D6E35">
        <w:rPr>
          <w:rFonts w:ascii="Century Gothic" w:hAnsi="Century Gothic" w:cs="Courier New"/>
          <w:color w:val="1F497D" w:themeColor="text2"/>
          <w:sz w:val="20"/>
          <w:szCs w:val="20"/>
        </w:rPr>
        <w:t>(01/01/</w:t>
      </w:r>
      <w:r w:rsidR="000D6E35" w:rsidRPr="004B3144">
        <w:rPr>
          <w:rFonts w:ascii="Century Gothic" w:hAnsi="Century Gothic" w:cs="Courier New"/>
          <w:color w:val="1F497D" w:themeColor="text2"/>
          <w:sz w:val="20"/>
          <w:szCs w:val="20"/>
        </w:rPr>
        <w:t>2019</w:t>
      </w:r>
      <w:r w:rsidR="000D6E35">
        <w:rPr>
          <w:rFonts w:ascii="Century Gothic" w:hAnsi="Century Gothic" w:cs="Courier New"/>
          <w:color w:val="1F497D" w:themeColor="text2"/>
          <w:sz w:val="20"/>
          <w:szCs w:val="20"/>
        </w:rPr>
        <w:t>-31/12/</w:t>
      </w:r>
      <w:r w:rsidR="000D6E35" w:rsidRPr="004B3144">
        <w:rPr>
          <w:rFonts w:ascii="Century Gothic" w:hAnsi="Century Gothic" w:cs="Courier New"/>
          <w:color w:val="1F497D" w:themeColor="text2"/>
          <w:sz w:val="20"/>
          <w:szCs w:val="20"/>
        </w:rPr>
        <w:t>2023</w:t>
      </w:r>
      <w:r w:rsidR="000D6E35">
        <w:rPr>
          <w:rFonts w:ascii="Century Gothic" w:hAnsi="Century Gothic" w:cs="Courier New"/>
          <w:color w:val="1F497D" w:themeColor="text2"/>
          <w:sz w:val="20"/>
          <w:szCs w:val="20"/>
        </w:rPr>
        <w:t xml:space="preserve">) </w:t>
      </w:r>
      <w:r w:rsidR="00E55C06" w:rsidRPr="004B3144">
        <w:rPr>
          <w:rFonts w:ascii="Century Gothic" w:hAnsi="Century Gothic" w:cs="Courier New"/>
          <w:color w:val="1F497D" w:themeColor="text2"/>
          <w:sz w:val="20"/>
          <w:szCs w:val="20"/>
        </w:rPr>
        <w:t>in condizioni stabili di fabbisogno finanziario e tassi di interesse</w:t>
      </w:r>
      <w:r w:rsidR="000D6E35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E55C06"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0D6E35"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è stimato </w:t>
      </w:r>
      <w:r w:rsidR="00E55C06" w:rsidRPr="004B3144">
        <w:rPr>
          <w:rFonts w:ascii="Century Gothic" w:hAnsi="Century Gothic" w:cs="Courier New"/>
          <w:color w:val="1F497D" w:themeColor="text2"/>
          <w:sz w:val="20"/>
          <w:szCs w:val="20"/>
        </w:rPr>
        <w:t>-</w:t>
      </w:r>
      <w:r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0D6E35" w:rsidRPr="004B3144">
        <w:rPr>
          <w:rFonts w:ascii="Century Gothic" w:hAnsi="Century Gothic" w:cs="Courier New"/>
          <w:color w:val="1F497D" w:themeColor="text2"/>
          <w:sz w:val="20"/>
          <w:szCs w:val="20"/>
        </w:rPr>
        <w:t>al meglio delle possibilità e conoscenze attuali dei profili di servizio richiesti</w:t>
      </w:r>
      <w:r w:rsidR="000D6E35">
        <w:rPr>
          <w:rFonts w:ascii="Century Gothic" w:hAnsi="Century Gothic" w:cs="Courier New"/>
          <w:color w:val="1F497D" w:themeColor="text2"/>
          <w:sz w:val="20"/>
          <w:szCs w:val="20"/>
        </w:rPr>
        <w:t xml:space="preserve"> -</w:t>
      </w:r>
      <w:r w:rsidR="000D6E35"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pari a </w:t>
      </w:r>
      <w:r w:rsidR="000D6E35"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circa </w:t>
      </w:r>
      <w:r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€ </w:t>
      </w:r>
      <w:r w:rsidR="00830172" w:rsidRPr="004B3144">
        <w:rPr>
          <w:rFonts w:ascii="Century Gothic" w:hAnsi="Century Gothic" w:cs="Courier New"/>
          <w:color w:val="1F497D" w:themeColor="text2"/>
          <w:sz w:val="20"/>
          <w:szCs w:val="20"/>
        </w:rPr>
        <w:t>6</w:t>
      </w:r>
      <w:r w:rsidR="001436AF" w:rsidRPr="004B3144">
        <w:rPr>
          <w:rFonts w:ascii="Century Gothic" w:hAnsi="Century Gothic" w:cs="Courier New"/>
          <w:color w:val="1F497D" w:themeColor="text2"/>
          <w:sz w:val="20"/>
          <w:szCs w:val="20"/>
        </w:rPr>
        <w:t>0</w:t>
      </w:r>
      <w:r w:rsidR="00E55C06" w:rsidRPr="004B3144">
        <w:rPr>
          <w:rFonts w:ascii="Century Gothic" w:hAnsi="Century Gothic" w:cs="Courier New"/>
          <w:color w:val="1F497D" w:themeColor="text2"/>
          <w:sz w:val="20"/>
          <w:szCs w:val="20"/>
        </w:rPr>
        <w:t>.0</w:t>
      </w:r>
      <w:r w:rsidRPr="004B3144">
        <w:rPr>
          <w:rFonts w:ascii="Century Gothic" w:hAnsi="Century Gothic" w:cs="Courier New"/>
          <w:color w:val="1F497D" w:themeColor="text2"/>
          <w:sz w:val="20"/>
          <w:szCs w:val="20"/>
        </w:rPr>
        <w:t>00.000,00</w:t>
      </w:r>
      <w:r w:rsidR="000D6E35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Pr="004B314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IVA esclusa.</w:t>
      </w:r>
    </w:p>
    <w:p w:rsidR="00ED6597" w:rsidRDefault="00ED6597" w:rsidP="00B1226A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tbl>
      <w:tblPr>
        <w:tblW w:w="79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1540"/>
      </w:tblGrid>
      <w:tr w:rsidR="004175D8" w:rsidRPr="004175D8" w:rsidTr="00826204">
        <w:trPr>
          <w:trHeight w:val="735"/>
          <w:jc w:val="center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175D8" w:rsidRPr="004175D8" w:rsidRDefault="004175D8" w:rsidP="000D4F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it-IT"/>
              </w:rPr>
              <w:t>PRINCIPALI PARAMETRI DEL SERVIZIO (dati al</w:t>
            </w:r>
            <w:r w:rsidR="00590BD3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0D4F54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it-IT"/>
              </w:rPr>
              <w:t>31/12/2016</w:t>
            </w:r>
            <w:r w:rsidRPr="004175D8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it-IT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D8" w:rsidRPr="00590BD3" w:rsidRDefault="000D4F54" w:rsidP="004175D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color w:val="000000"/>
                <w:lang w:eastAsia="it-IT"/>
              </w:rPr>
            </w:pPr>
            <w:r w:rsidRPr="00590BD3">
              <w:rPr>
                <w:rFonts w:ascii="Century Gothic" w:eastAsia="Times New Roman" w:hAnsi="Century Gothic" w:cs="Times New Roman"/>
                <w:i/>
                <w:color w:val="000000"/>
                <w:lang w:eastAsia="it-IT"/>
              </w:rPr>
              <w:t>circa</w:t>
            </w:r>
          </w:p>
        </w:tc>
      </w:tr>
      <w:tr w:rsidR="004175D8" w:rsidRPr="004175D8" w:rsidTr="00826204">
        <w:trPr>
          <w:trHeight w:val="480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75D8" w:rsidRPr="004175D8" w:rsidRDefault="004175D8" w:rsidP="004175D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numerosità conti correnti bancari e postali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5D8" w:rsidRPr="004175D8" w:rsidRDefault="004175D8" w:rsidP="004175D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1.400</w:t>
            </w:r>
          </w:p>
        </w:tc>
      </w:tr>
      <w:tr w:rsidR="004175D8" w:rsidRPr="004175D8" w:rsidTr="00826204">
        <w:trPr>
          <w:trHeight w:val="480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75D8" w:rsidRPr="004175D8" w:rsidRDefault="00C90A3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riscossion</w:t>
            </w:r>
            <w:r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i</w:t>
            </w: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 </w:t>
            </w:r>
            <w:r w:rsidR="004175D8"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da ruolo (volumi incassi</w:t>
            </w:r>
            <w:r w:rsidR="000D4F54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 anno</w:t>
            </w:r>
            <w:r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 201</w:t>
            </w:r>
            <w:r w:rsidR="000D4F54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6</w:t>
            </w:r>
            <w:r w:rsidR="004175D8"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5D8" w:rsidRPr="004175D8" w:rsidRDefault="004175D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€ </w:t>
            </w:r>
            <w:r w:rsidR="000D4F54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8</w:t>
            </w: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,</w:t>
            </w:r>
            <w:r w:rsidR="000D4F54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8</w:t>
            </w:r>
            <w:r w:rsidR="000D4F54"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 </w:t>
            </w: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MLD</w:t>
            </w:r>
          </w:p>
        </w:tc>
      </w:tr>
      <w:tr w:rsidR="004175D8" w:rsidRPr="004175D8" w:rsidTr="00826204">
        <w:trPr>
          <w:trHeight w:val="675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75D8" w:rsidRPr="004175D8" w:rsidRDefault="004175D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n. bonifici disposti per riversamenti e pagamenti propri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5D8" w:rsidRPr="004175D8" w:rsidRDefault="000D4F54" w:rsidP="004175D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4</w:t>
            </w:r>
            <w:r w:rsidR="004175D8"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,0 MLN</w:t>
            </w:r>
          </w:p>
        </w:tc>
      </w:tr>
      <w:tr w:rsidR="004175D8" w:rsidRPr="004175D8" w:rsidTr="00826204">
        <w:trPr>
          <w:trHeight w:val="480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75D8" w:rsidRPr="004175D8" w:rsidRDefault="000D4F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affidamenti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5D8" w:rsidRPr="004175D8" w:rsidRDefault="004175D8" w:rsidP="004175D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€ 1,1 MLD</w:t>
            </w:r>
          </w:p>
        </w:tc>
      </w:tr>
      <w:tr w:rsidR="004175D8" w:rsidRPr="004175D8" w:rsidTr="00826204">
        <w:trPr>
          <w:trHeight w:val="480"/>
          <w:jc w:val="center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175D8" w:rsidRPr="004175D8" w:rsidRDefault="004175D8" w:rsidP="004175D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n. sportelli</w:t>
            </w:r>
            <w:r w:rsidR="00B72354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 (n. box cassa)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5D8" w:rsidRPr="004175D8" w:rsidRDefault="004175D8" w:rsidP="00B723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4175D8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202</w:t>
            </w:r>
            <w:r w:rsidR="00B72354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 xml:space="preserve"> (box n.800)</w:t>
            </w:r>
          </w:p>
        </w:tc>
      </w:tr>
    </w:tbl>
    <w:p w:rsidR="00ED6597" w:rsidRDefault="00ED6597" w:rsidP="00B1226A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p w:rsidR="00ED6597" w:rsidRDefault="000D4F54" w:rsidP="00B1226A">
      <w:pPr>
        <w:ind w:firstLine="567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Si rinvia al bilancio consolidato del gruppo Equitalia al 31/12/2016, pubblicato sul sito istituzionale di AdeR</w:t>
      </w:r>
      <w:r w:rsidR="00590BD3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per ulteriori dati e informazioni.</w:t>
      </w:r>
    </w:p>
    <w:p w:rsidR="006D1ECA" w:rsidRDefault="006D1ECA" w:rsidP="00B1226A">
      <w:pPr>
        <w:ind w:firstLine="567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br w:type="page"/>
      </w:r>
    </w:p>
    <w:p w:rsidR="000D6E35" w:rsidRPr="000D6E35" w:rsidRDefault="000D6E35" w:rsidP="000D6E35">
      <w:pPr>
        <w:ind w:firstLine="567"/>
        <w:jc w:val="center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  <w:u w:val="single"/>
        </w:rPr>
      </w:pPr>
      <w:r w:rsidRPr="000D6E35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  <w:u w:val="single"/>
        </w:rPr>
        <w:lastRenderedPageBreak/>
        <w:t>QUESTIONARIO</w:t>
      </w:r>
    </w:p>
    <w:p w:rsidR="002152C5" w:rsidRPr="00052599" w:rsidRDefault="002152C5" w:rsidP="006A33A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Quali sono i servizi tra quelli </w:t>
      </w:r>
      <w:r w:rsidR="00812021">
        <w:rPr>
          <w:rFonts w:ascii="Century Gothic" w:hAnsi="Century Gothic" w:cs="Courier New"/>
          <w:color w:val="1F497D" w:themeColor="text2"/>
          <w:sz w:val="20"/>
          <w:szCs w:val="20"/>
        </w:rPr>
        <w:t>sopra descritti</w:t>
      </w:r>
      <w:r w:rsidR="0081202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che la Banca è in grado di fornire</w:t>
      </w:r>
      <w:r w:rsidR="000D4F54" w:rsidRPr="000D4F5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0D4F54" w:rsidRPr="00052599">
        <w:rPr>
          <w:rFonts w:ascii="Century Gothic" w:hAnsi="Century Gothic" w:cs="Courier New"/>
          <w:color w:val="1F497D" w:themeColor="text2"/>
          <w:sz w:val="20"/>
          <w:szCs w:val="20"/>
        </w:rPr>
        <w:t>direttamente</w:t>
      </w:r>
      <w:r w:rsidR="000D4F54">
        <w:rPr>
          <w:rFonts w:ascii="Century Gothic" w:hAnsi="Century Gothic" w:cs="Courier New"/>
          <w:color w:val="1F497D" w:themeColor="text2"/>
          <w:sz w:val="20"/>
          <w:szCs w:val="20"/>
        </w:rPr>
        <w:t>, anche facendo ricorso ai propri fornitori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? In caso negativo, quali sono le tipologie di servizi che </w:t>
      </w:r>
      <w:r w:rsidR="00B1226A" w:rsidRPr="00052599">
        <w:rPr>
          <w:rFonts w:ascii="Century Gothic" w:hAnsi="Century Gothic" w:cs="Courier New"/>
          <w:color w:val="1F497D" w:themeColor="text2"/>
          <w:sz w:val="20"/>
          <w:szCs w:val="20"/>
        </w:rPr>
        <w:t>la Banca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non è in grado di offrire?</w:t>
      </w:r>
    </w:p>
    <w:p w:rsidR="002152C5" w:rsidRPr="00052599" w:rsidRDefault="002152C5" w:rsidP="002152C5">
      <w:pPr>
        <w:ind w:left="567" w:right="565"/>
        <w:jc w:val="both"/>
        <w:rPr>
          <w:rFonts w:ascii="Century Gothic" w:hAnsi="Century Gothic" w:cs="Courier New"/>
          <w:b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Risposta</w:t>
      </w: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: </w:t>
      </w:r>
    </w:p>
    <w:tbl>
      <w:tblPr>
        <w:tblStyle w:val="Grigliatabella"/>
        <w:tblW w:w="8613" w:type="dxa"/>
        <w:tblInd w:w="567" w:type="dxa"/>
        <w:tblLook w:val="04A0" w:firstRow="1" w:lastRow="0" w:firstColumn="1" w:lastColumn="0" w:noHBand="0" w:noVBand="1"/>
      </w:tblPr>
      <w:tblGrid>
        <w:gridCol w:w="4361"/>
        <w:gridCol w:w="4252"/>
      </w:tblGrid>
      <w:tr w:rsidR="002152C5" w:rsidRPr="00052599" w:rsidTr="005B3F1C">
        <w:trPr>
          <w:trHeight w:val="589"/>
        </w:trPr>
        <w:tc>
          <w:tcPr>
            <w:tcW w:w="4361" w:type="dxa"/>
            <w:vAlign w:val="center"/>
          </w:tcPr>
          <w:p w:rsidR="002152C5" w:rsidRPr="00052599" w:rsidRDefault="002152C5" w:rsidP="004B7B74">
            <w:pPr>
              <w:ind w:right="565"/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sym w:font="Wingdings 3" w:char="F07F"/>
            </w:r>
            <w:r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 xml:space="preserve"> Servizi </w:t>
            </w:r>
            <w:r w:rsidR="004B7B74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>di incasso e di pagamento</w:t>
            </w:r>
          </w:p>
        </w:tc>
        <w:tc>
          <w:tcPr>
            <w:tcW w:w="4252" w:type="dxa"/>
            <w:vAlign w:val="center"/>
          </w:tcPr>
          <w:p w:rsidR="002152C5" w:rsidRPr="00052599" w:rsidRDefault="002152C5" w:rsidP="00820E87">
            <w:pPr>
              <w:ind w:left="175" w:right="565" w:hanging="175"/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sym w:font="Wingdings 3" w:char="F07F"/>
            </w:r>
            <w:r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 xml:space="preserve"> </w:t>
            </w:r>
            <w:r w:rsidR="00B1226A"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>Servizi di ritiro</w:t>
            </w:r>
            <w:r w:rsidR="000D6E35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 xml:space="preserve"> e</w:t>
            </w:r>
            <w:r w:rsidR="00B1226A"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 xml:space="preserve"> </w:t>
            </w:r>
            <w:r w:rsidR="000D6E35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 xml:space="preserve">trasporto </w:t>
            </w:r>
            <w:r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>valori</w:t>
            </w:r>
            <w:r w:rsidR="00820E87"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>, amministrazione e custodia titoli e valori</w:t>
            </w:r>
            <w:r w:rsidR="00B1226A"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 xml:space="preserve"> </w:t>
            </w:r>
            <w:r w:rsidR="00EB76BA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>riscossi</w:t>
            </w:r>
          </w:p>
        </w:tc>
      </w:tr>
      <w:tr w:rsidR="002152C5" w:rsidRPr="00052599" w:rsidTr="005B3F1C">
        <w:trPr>
          <w:trHeight w:val="589"/>
        </w:trPr>
        <w:tc>
          <w:tcPr>
            <w:tcW w:w="4361" w:type="dxa"/>
            <w:vAlign w:val="center"/>
          </w:tcPr>
          <w:p w:rsidR="002152C5" w:rsidRPr="00052599" w:rsidRDefault="004B7B74" w:rsidP="005B3F1C">
            <w:pPr>
              <w:ind w:right="565"/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sym w:font="Wingdings 3" w:char="F07F"/>
            </w:r>
            <w:r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 xml:space="preserve"> Anticipazione di Cassa</w:t>
            </w:r>
          </w:p>
        </w:tc>
        <w:tc>
          <w:tcPr>
            <w:tcW w:w="4252" w:type="dxa"/>
            <w:vAlign w:val="center"/>
          </w:tcPr>
          <w:p w:rsidR="002152C5" w:rsidRPr="00052599" w:rsidRDefault="002152C5" w:rsidP="00EB76BA">
            <w:pPr>
              <w:ind w:right="565"/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</w:pPr>
            <w:r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sym w:font="Wingdings 3" w:char="F07F"/>
            </w:r>
            <w:r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 xml:space="preserve"> Servizi </w:t>
            </w:r>
            <w:r w:rsidR="004F55AB" w:rsidRPr="00052599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 xml:space="preserve">accessori </w:t>
            </w:r>
            <w:r w:rsidR="00EB76BA" w:rsidRPr="00EB76BA">
              <w:rPr>
                <w:rFonts w:ascii="Century Gothic" w:hAnsi="Century Gothic" w:cs="Courier New"/>
                <w:color w:val="1F497D" w:themeColor="text2"/>
                <w:sz w:val="18"/>
                <w:szCs w:val="18"/>
              </w:rPr>
              <w:t>alla gestione degli incassi e dei pagamenti</w:t>
            </w:r>
          </w:p>
        </w:tc>
      </w:tr>
    </w:tbl>
    <w:p w:rsidR="002152C5" w:rsidRPr="00052599" w:rsidRDefault="002152C5" w:rsidP="002152C5">
      <w:pPr>
        <w:spacing w:after="0" w:line="240" w:lineRule="auto"/>
        <w:ind w:left="567" w:right="567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2152C5" w:rsidRPr="00052599" w:rsidRDefault="002152C5" w:rsidP="002152C5">
      <w:pPr>
        <w:spacing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D67C87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__________________________________________</w:t>
      </w:r>
    </w:p>
    <w:p w:rsidR="00D67C87" w:rsidRDefault="00D67C87" w:rsidP="004B7B74">
      <w:pPr>
        <w:spacing w:after="0" w:line="360" w:lineRule="auto"/>
        <w:ind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4759D2" w:rsidRPr="004B7B74" w:rsidRDefault="004759D2" w:rsidP="004B7B74">
      <w:pPr>
        <w:spacing w:after="0" w:line="360" w:lineRule="auto"/>
        <w:ind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4B7B74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SERVIZI DI </w:t>
      </w:r>
      <w:r w:rsidR="004B7B74" w:rsidRPr="004B7B74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INCASSO E DI PAGAMENTO</w:t>
      </w:r>
    </w:p>
    <w:p w:rsidR="0080797D" w:rsidRPr="00D67C87" w:rsidRDefault="005A2A1F" w:rsidP="00D67C87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4B7B74">
        <w:rPr>
          <w:rFonts w:ascii="Century Gothic" w:hAnsi="Century Gothic" w:cs="Courier New"/>
          <w:color w:val="1F497D" w:themeColor="text2"/>
          <w:sz w:val="20"/>
          <w:szCs w:val="20"/>
        </w:rPr>
        <w:t>L</w:t>
      </w:r>
      <w:r w:rsidR="006E14B3" w:rsidRPr="004B7B74">
        <w:rPr>
          <w:rFonts w:ascii="Century Gothic" w:hAnsi="Century Gothic" w:cs="Courier New"/>
          <w:color w:val="1F497D" w:themeColor="text2"/>
          <w:sz w:val="20"/>
          <w:szCs w:val="20"/>
        </w:rPr>
        <w:t>a Banca ha esperienza</w:t>
      </w:r>
      <w:r w:rsidR="00140EE0" w:rsidRPr="004B7B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nell’ambito dei servizi di tesoreria in favore di pubbliche amministrazioni? In caso affermativo si chiede una sommaria descrizione della dimensione e della complessità dell’ente/enti nei cui confronti è erogato il servizio, delle modalità di svolgimento del</w:t>
      </w:r>
      <w:r w:rsidR="00AD3D3D" w:rsidRPr="004B7B74">
        <w:rPr>
          <w:rFonts w:ascii="Century Gothic" w:hAnsi="Century Gothic" w:cs="Courier New"/>
          <w:color w:val="1F497D" w:themeColor="text2"/>
          <w:sz w:val="20"/>
          <w:szCs w:val="20"/>
        </w:rPr>
        <w:t>lo</w:t>
      </w:r>
      <w:r w:rsidR="00140EE0" w:rsidRPr="004B7B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stesso con l’indicazione delle principali obbligazioni assunte</w:t>
      </w:r>
      <w:r w:rsidR="00AD3D3D" w:rsidRPr="004B7B74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140EE0" w:rsidRPr="004B7B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delle garanzie prestate</w:t>
      </w:r>
      <w:r w:rsidR="00AD3D3D" w:rsidRPr="004B7B74">
        <w:rPr>
          <w:rFonts w:ascii="Century Gothic" w:hAnsi="Century Gothic" w:cs="Courier New"/>
          <w:color w:val="1F497D" w:themeColor="text2"/>
          <w:sz w:val="20"/>
          <w:szCs w:val="20"/>
        </w:rPr>
        <w:t>, dell’eventuale presenza di strutture</w:t>
      </w:r>
      <w:r w:rsidR="0080797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complesse</w:t>
      </w:r>
      <w:r w:rsidR="00AD3D3D" w:rsidRPr="004B7B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cash pooling</w:t>
      </w:r>
      <w:r w:rsidR="0080797D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AD3D3D" w:rsidRPr="004B7B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140EE0" w:rsidRPr="004B7B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nonché delle modalità di remunerazione </w:t>
      </w:r>
      <w:r w:rsidR="00AD3D3D" w:rsidRPr="004B7B74">
        <w:rPr>
          <w:rFonts w:ascii="Century Gothic" w:hAnsi="Century Gothic" w:cs="Courier New"/>
          <w:color w:val="1F497D" w:themeColor="text2"/>
          <w:sz w:val="20"/>
          <w:szCs w:val="20"/>
        </w:rPr>
        <w:t>adottate</w:t>
      </w:r>
      <w:r w:rsidR="00C90A38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D3D3D" w:rsidRPr="00D67C87" w:rsidRDefault="00AD3D3D" w:rsidP="00AD3D3D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AD3D3D">
        <w:rPr>
          <w:rFonts w:ascii="Century Gothic" w:hAnsi="Century Gothic" w:cs="Courier New"/>
          <w:color w:val="1F497D" w:themeColor="text2"/>
          <w:sz w:val="20"/>
          <w:szCs w:val="20"/>
        </w:rPr>
        <w:t xml:space="preserve">La Banca ha esperienza </w:t>
      </w:r>
      <w:r w:rsidR="0080797D">
        <w:rPr>
          <w:rFonts w:ascii="Century Gothic" w:hAnsi="Century Gothic" w:cs="Courier New"/>
          <w:color w:val="1F497D" w:themeColor="text2"/>
          <w:sz w:val="20"/>
          <w:szCs w:val="20"/>
        </w:rPr>
        <w:t>anche</w:t>
      </w:r>
      <w:r w:rsidR="0080797D" w:rsidRPr="006E740A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6E740A">
        <w:rPr>
          <w:rFonts w:ascii="Century Gothic" w:hAnsi="Century Gothic" w:cs="Courier New"/>
          <w:color w:val="1F497D" w:themeColor="text2"/>
          <w:sz w:val="20"/>
          <w:szCs w:val="20"/>
        </w:rPr>
        <w:t>nel settore privato di clienti con sistemi di cash management compless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i? In caso affermativo </w:t>
      </w:r>
      <w:r w:rsidRPr="005E7ABB">
        <w:rPr>
          <w:rFonts w:ascii="Century Gothic" w:hAnsi="Century Gothic" w:cs="Courier New"/>
          <w:color w:val="1F497D" w:themeColor="text2"/>
          <w:sz w:val="20"/>
          <w:szCs w:val="20"/>
        </w:rPr>
        <w:t xml:space="preserve">si chiede una sommaria descrizione della dimensione e della complessità 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dei clienti</w:t>
      </w:r>
      <w:r w:rsidRPr="005E7ABB">
        <w:rPr>
          <w:rFonts w:ascii="Century Gothic" w:hAnsi="Century Gothic" w:cs="Courier New"/>
          <w:color w:val="1F497D" w:themeColor="text2"/>
          <w:sz w:val="20"/>
          <w:szCs w:val="20"/>
        </w:rPr>
        <w:t xml:space="preserve"> nei cui confronti è erogato il servizio, delle modalità di svolgimento dello stesso con l’indicazione delle principali obbligazioni assunte, delle garanzie prestate</w:t>
      </w:r>
      <w:r w:rsidR="0080797D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Pr="005E7ABB">
        <w:rPr>
          <w:rFonts w:ascii="Century Gothic" w:hAnsi="Century Gothic" w:cs="Courier New"/>
          <w:color w:val="1F497D" w:themeColor="text2"/>
          <w:sz w:val="20"/>
          <w:szCs w:val="20"/>
        </w:rPr>
        <w:t xml:space="preserve"> nonché delle modalità di remunerazione adottate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E7" w:rsidRPr="00052599" w:rsidRDefault="004764EF" w:rsidP="004C32D0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lastRenderedPageBreak/>
        <w:t>L</w:t>
      </w:r>
      <w:r w:rsidR="003042E7" w:rsidRPr="00052599">
        <w:rPr>
          <w:rFonts w:ascii="Century Gothic" w:hAnsi="Century Gothic" w:cs="Courier New"/>
          <w:color w:val="1F497D" w:themeColor="text2"/>
          <w:sz w:val="20"/>
          <w:szCs w:val="20"/>
        </w:rPr>
        <w:t>a Banca ha esperienza</w:t>
      </w:r>
      <w:r w:rsidR="004C32D0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3042E7" w:rsidRPr="00052599">
        <w:rPr>
          <w:rFonts w:ascii="Century Gothic" w:hAnsi="Century Gothic" w:cs="Courier New"/>
          <w:color w:val="1F497D" w:themeColor="text2"/>
          <w:sz w:val="20"/>
          <w:szCs w:val="20"/>
        </w:rPr>
        <w:t>nella gestione integrata</w:t>
      </w:r>
      <w:r w:rsidR="004C32D0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3042E7" w:rsidRPr="00052599">
        <w:rPr>
          <w:rFonts w:ascii="Century Gothic" w:hAnsi="Century Gothic" w:cs="Courier New"/>
          <w:color w:val="1F497D" w:themeColor="text2"/>
          <w:sz w:val="20"/>
          <w:szCs w:val="20"/>
        </w:rPr>
        <w:t>de</w:t>
      </w:r>
      <w:r w:rsidR="00C34A59" w:rsidRPr="00052599">
        <w:rPr>
          <w:rFonts w:ascii="Century Gothic" w:hAnsi="Century Gothic" w:cs="Courier New"/>
          <w:color w:val="1F497D" w:themeColor="text2"/>
          <w:sz w:val="20"/>
          <w:szCs w:val="20"/>
        </w:rPr>
        <w:t>l processo di addebito SDD</w:t>
      </w:r>
      <w:r w:rsidR="00AD3D3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72D29">
        <w:rPr>
          <w:rFonts w:ascii="Century Gothic" w:hAnsi="Century Gothic" w:cs="Courier New"/>
          <w:color w:val="1F497D" w:themeColor="text2"/>
          <w:sz w:val="20"/>
          <w:szCs w:val="20"/>
        </w:rPr>
        <w:t>e</w:t>
      </w:r>
      <w:r w:rsidR="00AD3D3D">
        <w:rPr>
          <w:rFonts w:ascii="Century Gothic" w:hAnsi="Century Gothic" w:cs="Courier New"/>
          <w:color w:val="1F497D" w:themeColor="text2"/>
          <w:sz w:val="20"/>
          <w:szCs w:val="20"/>
        </w:rPr>
        <w:t>d è</w:t>
      </w:r>
      <w:r w:rsidR="003042E7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in grado di fornire un portale per la gestione de</w:t>
      </w:r>
      <w:r w:rsidR="00C34A59" w:rsidRPr="00052599">
        <w:rPr>
          <w:rFonts w:ascii="Century Gothic" w:hAnsi="Century Gothic" w:cs="Courier New"/>
          <w:color w:val="1F497D" w:themeColor="text2"/>
          <w:sz w:val="20"/>
          <w:szCs w:val="20"/>
        </w:rPr>
        <w:t>i mandati</w:t>
      </w:r>
      <w:r w:rsidR="003042E7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9657EC">
        <w:rPr>
          <w:rFonts w:ascii="Century Gothic" w:hAnsi="Century Gothic" w:cs="Courier New"/>
          <w:color w:val="1F497D" w:themeColor="text2"/>
          <w:sz w:val="20"/>
          <w:szCs w:val="20"/>
        </w:rPr>
        <w:t>(</w:t>
      </w:r>
      <w:r w:rsidR="003042E7" w:rsidRPr="00052599">
        <w:rPr>
          <w:rFonts w:ascii="Century Gothic" w:hAnsi="Century Gothic" w:cs="Courier New"/>
          <w:color w:val="1F497D" w:themeColor="text2"/>
          <w:sz w:val="20"/>
          <w:szCs w:val="20"/>
        </w:rPr>
        <w:t>autorizzazioni/revoche</w:t>
      </w:r>
      <w:r w:rsidR="009657EC">
        <w:rPr>
          <w:rFonts w:ascii="Century Gothic" w:hAnsi="Century Gothic" w:cs="Courier New"/>
          <w:color w:val="1F497D" w:themeColor="text2"/>
          <w:sz w:val="20"/>
          <w:szCs w:val="20"/>
        </w:rPr>
        <w:t>)</w:t>
      </w:r>
      <w:r w:rsidR="00AD3D3D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</w:t>
      </w:r>
      <w:r w:rsidR="00AD3D3D" w:rsidRPr="00052599">
        <w:rPr>
          <w:rFonts w:ascii="Century Gothic" w:hAnsi="Century Gothic" w:cs="Courier New"/>
          <w:color w:val="1F497D" w:themeColor="text2"/>
          <w:sz w:val="20"/>
          <w:szCs w:val="20"/>
        </w:rPr>
        <w:t>genera</w:t>
      </w:r>
      <w:r w:rsidR="00AD3D3D">
        <w:rPr>
          <w:rFonts w:ascii="Century Gothic" w:hAnsi="Century Gothic" w:cs="Courier New"/>
          <w:color w:val="1F497D" w:themeColor="text2"/>
          <w:sz w:val="20"/>
          <w:szCs w:val="20"/>
        </w:rPr>
        <w:t>ndo</w:t>
      </w:r>
      <w:r w:rsidR="00AD3D3D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4C32D0" w:rsidRPr="00052599">
        <w:rPr>
          <w:rFonts w:ascii="Century Gothic" w:hAnsi="Century Gothic" w:cs="Courier New"/>
          <w:color w:val="1F497D" w:themeColor="text2"/>
          <w:sz w:val="20"/>
          <w:szCs w:val="20"/>
        </w:rPr>
        <w:t>flussi SDD e flussi di rendicontazione</w:t>
      </w:r>
      <w:r w:rsidR="0080797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incassi</w:t>
      </w:r>
      <w:r w:rsidR="004C32D0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e insoluti? </w:t>
      </w:r>
      <w:r w:rsidR="0080797D">
        <w:rPr>
          <w:rFonts w:ascii="Century Gothic" w:hAnsi="Century Gothic" w:cs="Courier New"/>
          <w:color w:val="1F497D" w:themeColor="text2"/>
          <w:sz w:val="20"/>
          <w:szCs w:val="20"/>
        </w:rPr>
        <w:t>I</w:t>
      </w:r>
      <w:r w:rsidR="00AD3D3D">
        <w:rPr>
          <w:rFonts w:ascii="Century Gothic" w:hAnsi="Century Gothic" w:cs="Courier New"/>
          <w:color w:val="1F497D" w:themeColor="text2"/>
          <w:sz w:val="20"/>
          <w:szCs w:val="20"/>
        </w:rPr>
        <w:t xml:space="preserve">n caso affermativo si chiede di descrivere la propria esperienza e le modalità di erogazione e </w:t>
      </w:r>
      <w:r w:rsidR="00C72D29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 </w:t>
      </w:r>
      <w:r w:rsidR="00AD3D3D">
        <w:rPr>
          <w:rFonts w:ascii="Century Gothic" w:hAnsi="Century Gothic" w:cs="Courier New"/>
          <w:color w:val="1F497D" w:themeColor="text2"/>
          <w:sz w:val="20"/>
          <w:szCs w:val="20"/>
        </w:rPr>
        <w:t>remunerazione</w:t>
      </w:r>
      <w:r w:rsidR="0080797D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tale servizio</w:t>
      </w:r>
      <w:r w:rsidR="00C72D29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370B" w:rsidRPr="00D67C87" w:rsidRDefault="004B7B74" w:rsidP="00D67C87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La Banca è in grado di fornire un servizio complesso </w:t>
      </w:r>
      <w:r w:rsidR="0080797D" w:rsidRPr="00D67C87">
        <w:rPr>
          <w:rFonts w:ascii="Century Gothic" w:hAnsi="Century Gothic" w:cs="Courier New"/>
          <w:color w:val="1F497D" w:themeColor="text2"/>
          <w:sz w:val="20"/>
          <w:szCs w:val="20"/>
        </w:rPr>
        <w:t>di</w:t>
      </w:r>
      <w:r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pagamento con assegni di traenza</w:t>
      </w:r>
      <w:r w:rsidR="0080797D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ED6597" w:rsidRPr="00D67C87">
        <w:rPr>
          <w:rFonts w:ascii="Century Gothic" w:hAnsi="Century Gothic" w:cs="Courier New"/>
          <w:color w:val="1F497D" w:themeColor="text2"/>
          <w:sz w:val="20"/>
          <w:szCs w:val="20"/>
        </w:rPr>
        <w:t>con elevati standard di</w:t>
      </w:r>
      <w:r w:rsidR="000D1EA9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D67C87">
        <w:rPr>
          <w:rFonts w:ascii="Century Gothic" w:hAnsi="Century Gothic" w:cs="Courier New"/>
          <w:color w:val="1F497D" w:themeColor="text2"/>
          <w:sz w:val="20"/>
          <w:szCs w:val="20"/>
        </w:rPr>
        <w:t>sicurezza</w:t>
      </w:r>
      <w:r w:rsidR="00ED6597" w:rsidRPr="00D67C87"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  <w:r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2A52DE" w:rsidRPr="00D67C87">
        <w:rPr>
          <w:rFonts w:ascii="Century Gothic" w:hAnsi="Century Gothic" w:cs="Courier New"/>
          <w:color w:val="1F497D" w:themeColor="text2"/>
          <w:sz w:val="20"/>
          <w:szCs w:val="20"/>
        </w:rPr>
        <w:t>E, i</w:t>
      </w:r>
      <w:r w:rsidR="00F13CF9" w:rsidRPr="00D67C87">
        <w:rPr>
          <w:rFonts w:ascii="Century Gothic" w:hAnsi="Century Gothic" w:cs="Courier New"/>
          <w:color w:val="1F497D" w:themeColor="text2"/>
          <w:sz w:val="20"/>
          <w:szCs w:val="20"/>
        </w:rPr>
        <w:t>n caso affermativo</w:t>
      </w:r>
      <w:r w:rsidR="002A52DE" w:rsidRPr="00D67C87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F13CF9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la Banca è in grado di </w:t>
      </w:r>
      <w:r w:rsidR="00ED6597" w:rsidRPr="00D67C87">
        <w:rPr>
          <w:rFonts w:ascii="Century Gothic" w:hAnsi="Century Gothic" w:cs="Courier New"/>
          <w:color w:val="1F497D" w:themeColor="text2"/>
          <w:sz w:val="20"/>
          <w:szCs w:val="20"/>
        </w:rPr>
        <w:t>supporta</w:t>
      </w:r>
      <w:r w:rsidR="00F13CF9" w:rsidRPr="00D67C87">
        <w:rPr>
          <w:rFonts w:ascii="Century Gothic" w:hAnsi="Century Gothic" w:cs="Courier New"/>
          <w:color w:val="1F497D" w:themeColor="text2"/>
          <w:sz w:val="20"/>
          <w:szCs w:val="20"/>
        </w:rPr>
        <w:t>re il servizio con</w:t>
      </w:r>
      <w:r w:rsidR="007D370B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una gestione </w:t>
      </w:r>
      <w:r w:rsidR="00CE2AC2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informatica </w:t>
      </w:r>
      <w:r w:rsidR="007D370B" w:rsidRPr="00D67C87">
        <w:rPr>
          <w:rFonts w:ascii="Century Gothic" w:hAnsi="Century Gothic" w:cs="Courier New"/>
          <w:color w:val="1F497D" w:themeColor="text2"/>
          <w:sz w:val="20"/>
          <w:szCs w:val="20"/>
        </w:rPr>
        <w:t>integrata</w:t>
      </w:r>
      <w:r w:rsidR="00F13CF9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mediante </w:t>
      </w:r>
      <w:r w:rsidR="007D370B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l’invio di flussi elettronici di monitoraggio e di rendicontazione </w:t>
      </w:r>
      <w:r w:rsidR="00F13CF9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ovvero </w:t>
      </w:r>
      <w:r w:rsidR="007D370B" w:rsidRPr="00D67C87">
        <w:rPr>
          <w:rFonts w:ascii="Century Gothic" w:hAnsi="Century Gothic" w:cs="Courier New"/>
          <w:color w:val="1F497D" w:themeColor="text2"/>
          <w:sz w:val="20"/>
          <w:szCs w:val="20"/>
        </w:rPr>
        <w:t>tramite un sistema gestionale dedicato?</w:t>
      </w:r>
      <w:r w:rsid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2A52DE" w:rsidRPr="00D67C87">
        <w:rPr>
          <w:rFonts w:ascii="Century Gothic" w:hAnsi="Century Gothic" w:cs="Courier New"/>
          <w:color w:val="1F497D" w:themeColor="text2"/>
          <w:sz w:val="20"/>
          <w:szCs w:val="20"/>
        </w:rPr>
        <w:t>S</w:t>
      </w:r>
      <w:r w:rsidR="00F13CF9" w:rsidRPr="00D67C87">
        <w:rPr>
          <w:rFonts w:ascii="Century Gothic" w:hAnsi="Century Gothic" w:cs="Courier New"/>
          <w:color w:val="1F497D" w:themeColor="text2"/>
          <w:sz w:val="20"/>
          <w:szCs w:val="20"/>
        </w:rPr>
        <w:t>i chiede</w:t>
      </w:r>
      <w:r w:rsidR="002A52DE" w:rsidRPr="00D67C87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F13CF9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2A52DE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in caso affermativo, </w:t>
      </w:r>
      <w:r w:rsidR="00F13CF9" w:rsidRPr="00D67C87">
        <w:rPr>
          <w:rFonts w:ascii="Century Gothic" w:hAnsi="Century Gothic" w:cs="Courier New"/>
          <w:color w:val="1F497D" w:themeColor="text2"/>
          <w:sz w:val="20"/>
          <w:szCs w:val="20"/>
        </w:rPr>
        <w:t>una sommaria descrizione</w:t>
      </w:r>
      <w:r w:rsidR="002A52DE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del servizio</w:t>
      </w:r>
      <w:r w:rsidR="00F13CF9" w:rsidRPr="00D67C87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B74" w:rsidRPr="004B7B74" w:rsidRDefault="00B40FCB" w:rsidP="004B7B74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La Banca h</w:t>
      </w:r>
      <w:r w:rsidR="004B7B74" w:rsidRPr="004B7B74">
        <w:rPr>
          <w:rFonts w:ascii="Century Gothic" w:hAnsi="Century Gothic" w:cs="Courier New"/>
          <w:color w:val="1F497D" w:themeColor="text2"/>
          <w:sz w:val="20"/>
          <w:szCs w:val="20"/>
        </w:rPr>
        <w:t>a esperienza nella gestione del servizio di consegna entro 48 ore dall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’inserimento della</w:t>
      </w:r>
      <w:r w:rsidR="004B7B74" w:rsidRPr="004B7B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richiesta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emissione dell’assegno</w:t>
      </w:r>
      <w:r w:rsid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traenza</w:t>
      </w:r>
      <w:r w:rsidR="004B7B74" w:rsidRPr="004B7B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? Qual è il cut-off per l’esecuzione di tali </w:t>
      </w:r>
      <w:r w:rsidR="00ED6597">
        <w:rPr>
          <w:rFonts w:ascii="Century Gothic" w:hAnsi="Century Gothic" w:cs="Courier New"/>
          <w:color w:val="1F497D" w:themeColor="text2"/>
          <w:sz w:val="20"/>
          <w:szCs w:val="20"/>
        </w:rPr>
        <w:t>operazioni</w:t>
      </w:r>
      <w:r w:rsidR="004B7B74" w:rsidRPr="004B7B74"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1EA9" w:rsidRDefault="004B7B74" w:rsidP="004B7B74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4B7B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La Banca è in grado di disporre bonifici sui conti della Tesoreria dello Stato in valuta compensata? </w:t>
      </w:r>
      <w:r w:rsidR="000D1EA9">
        <w:rPr>
          <w:rFonts w:ascii="Century Gothic" w:hAnsi="Century Gothic" w:cs="Courier New"/>
          <w:color w:val="1F497D" w:themeColor="text2"/>
          <w:sz w:val="20"/>
          <w:szCs w:val="20"/>
        </w:rPr>
        <w:t>In caso affermativo:</w:t>
      </w:r>
    </w:p>
    <w:p w:rsidR="000D1EA9" w:rsidRDefault="000D1EA9" w:rsidP="00D67C87">
      <w:pPr>
        <w:numPr>
          <w:ilvl w:val="0"/>
          <w:numId w:val="40"/>
        </w:numPr>
        <w:spacing w:after="0"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Quale è la data di disposizione rispetto a</w:t>
      </w:r>
      <w:r w:rsid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quella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 regolamento </w:t>
      </w:r>
      <w:r w:rsidR="00ED6597">
        <w:rPr>
          <w:rFonts w:ascii="Century Gothic" w:hAnsi="Century Gothic" w:cs="Courier New"/>
          <w:color w:val="1F497D" w:themeColor="text2"/>
          <w:sz w:val="20"/>
          <w:szCs w:val="20"/>
        </w:rPr>
        <w:t>“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D</w:t>
      </w:r>
      <w:r w:rsidR="00ED6597">
        <w:rPr>
          <w:rFonts w:ascii="Century Gothic" w:hAnsi="Century Gothic" w:cs="Courier New"/>
          <w:color w:val="1F497D" w:themeColor="text2"/>
          <w:sz w:val="20"/>
          <w:szCs w:val="20"/>
        </w:rPr>
        <w:t>”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</w:p>
    <w:p w:rsidR="000D1EA9" w:rsidRDefault="000D1EA9" w:rsidP="00D67C87">
      <w:pPr>
        <w:numPr>
          <w:ilvl w:val="0"/>
          <w:numId w:val="40"/>
        </w:numPr>
        <w:spacing w:after="0"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color w:val="1F497D" w:themeColor="text2"/>
          <w:sz w:val="20"/>
          <w:szCs w:val="20"/>
        </w:rPr>
        <w:t>Entro quale orario deve essere disposta l’operazione (cut-off)?</w:t>
      </w:r>
    </w:p>
    <w:p w:rsidR="004B7B74" w:rsidRPr="004B7B74" w:rsidRDefault="004B7B74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4B7B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Per casi specifici e fattispecie limitate, la banca </w:t>
      </w:r>
      <w:r w:rsidR="000D1EA9">
        <w:rPr>
          <w:rFonts w:ascii="Century Gothic" w:hAnsi="Century Gothic" w:cs="Courier New"/>
          <w:color w:val="1F497D" w:themeColor="text2"/>
          <w:sz w:val="20"/>
          <w:szCs w:val="20"/>
        </w:rPr>
        <w:t>sarebbe</w:t>
      </w:r>
      <w:r w:rsidRPr="004B7B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in grado di eseguire disposizioni non elettroniche? </w:t>
      </w:r>
      <w:r w:rsidR="00ED6597">
        <w:rPr>
          <w:rFonts w:ascii="Century Gothic" w:hAnsi="Century Gothic" w:cs="Courier New"/>
          <w:color w:val="1F497D" w:themeColor="text2"/>
          <w:sz w:val="20"/>
          <w:szCs w:val="20"/>
        </w:rPr>
        <w:t>Per tali casi, q</w:t>
      </w:r>
      <w:r w:rsidRPr="004B7B74">
        <w:rPr>
          <w:rFonts w:ascii="Century Gothic" w:hAnsi="Century Gothic" w:cs="Courier New"/>
          <w:color w:val="1F497D" w:themeColor="text2"/>
          <w:sz w:val="20"/>
          <w:szCs w:val="20"/>
        </w:rPr>
        <w:t>uali dovrebbero essere i tempi e le modalità operative da prevedere?</w:t>
      </w:r>
    </w:p>
    <w:p w:rsidR="00D67C87" w:rsidRPr="00D67C87" w:rsidRDefault="00D67C87" w:rsidP="00D67C87">
      <w:pPr>
        <w:keepNext/>
        <w:keepLines/>
        <w:spacing w:after="0" w:line="360" w:lineRule="auto"/>
        <w:ind w:left="567" w:right="567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D67C87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lastRenderedPageBreak/>
        <w:t xml:space="preserve">Risposta: </w:t>
      </w:r>
    </w:p>
    <w:p w:rsidR="00D67C87" w:rsidRDefault="00D67C87" w:rsidP="00D67C87">
      <w:pPr>
        <w:keepNext/>
        <w:keepLines/>
        <w:spacing w:after="0" w:line="360" w:lineRule="auto"/>
        <w:ind w:left="567" w:right="567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D67C87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59D2" w:rsidRPr="00052599" w:rsidRDefault="004759D2" w:rsidP="00CD43BD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SERVIZI DI RITIRO </w:t>
      </w:r>
      <w:r w:rsidR="004B7B74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E TRASPORTO </w:t>
      </w: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VALORI, AMMINISTRAZIONE E CUSTODIA TITOLI E VALORI</w:t>
      </w:r>
    </w:p>
    <w:p w:rsidR="00605106" w:rsidRPr="00052599" w:rsidRDefault="005A2A1F" w:rsidP="004C32D0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L</w:t>
      </w:r>
      <w:r w:rsidR="00C34A59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a Banca </w:t>
      </w:r>
      <w:r w:rsidR="00AD3D3D">
        <w:rPr>
          <w:rFonts w:ascii="Century Gothic" w:hAnsi="Century Gothic" w:cs="Courier New"/>
          <w:color w:val="1F497D" w:themeColor="text2"/>
          <w:sz w:val="20"/>
          <w:szCs w:val="20"/>
        </w:rPr>
        <w:t xml:space="preserve">ha rapporti con operatori autorizzati al </w:t>
      </w:r>
      <w:r w:rsidR="00197969">
        <w:rPr>
          <w:rFonts w:ascii="Century Gothic" w:hAnsi="Century Gothic" w:cs="Courier New"/>
          <w:color w:val="1F497D" w:themeColor="text2"/>
          <w:sz w:val="20"/>
          <w:szCs w:val="20"/>
        </w:rPr>
        <w:t>t</w:t>
      </w:r>
      <w:r w:rsidR="00AD3D3D">
        <w:rPr>
          <w:rFonts w:ascii="Century Gothic" w:hAnsi="Century Gothic" w:cs="Courier New"/>
          <w:color w:val="1F497D" w:themeColor="text2"/>
          <w:sz w:val="20"/>
          <w:szCs w:val="20"/>
        </w:rPr>
        <w:t>rasporto valori</w:t>
      </w:r>
      <w:r w:rsidR="002A1685">
        <w:rPr>
          <w:rFonts w:ascii="Century Gothic" w:hAnsi="Century Gothic" w:cs="Courier New"/>
          <w:color w:val="1F497D" w:themeColor="text2"/>
          <w:sz w:val="20"/>
          <w:szCs w:val="20"/>
        </w:rPr>
        <w:t xml:space="preserve"> con relative sale di contazione</w:t>
      </w:r>
      <w:r w:rsidR="00AD3D3D">
        <w:rPr>
          <w:rFonts w:ascii="Century Gothic" w:hAnsi="Century Gothic" w:cs="Courier New"/>
          <w:color w:val="1F497D" w:themeColor="text2"/>
          <w:sz w:val="20"/>
          <w:szCs w:val="20"/>
        </w:rPr>
        <w:t>? In caso affermativo si chie</w:t>
      </w:r>
      <w:r w:rsidR="002A1685">
        <w:rPr>
          <w:rFonts w:ascii="Century Gothic" w:hAnsi="Century Gothic" w:cs="Courier New"/>
          <w:color w:val="1F497D" w:themeColor="text2"/>
          <w:sz w:val="20"/>
          <w:szCs w:val="20"/>
        </w:rPr>
        <w:t xml:space="preserve">de di descrivere il grado di </w:t>
      </w:r>
      <w:r w:rsidR="00C34A59" w:rsidRPr="00052599">
        <w:rPr>
          <w:rFonts w:ascii="Century Gothic" w:hAnsi="Century Gothic" w:cs="Courier New"/>
          <w:color w:val="1F497D" w:themeColor="text2"/>
          <w:sz w:val="20"/>
          <w:szCs w:val="20"/>
        </w:rPr>
        <w:t>c</w:t>
      </w:r>
      <w:r w:rsidR="00605106" w:rsidRPr="00052599">
        <w:rPr>
          <w:rFonts w:ascii="Century Gothic" w:hAnsi="Century Gothic" w:cs="Courier New"/>
          <w:color w:val="1F497D" w:themeColor="text2"/>
          <w:sz w:val="20"/>
          <w:szCs w:val="20"/>
        </w:rPr>
        <w:t>opertura territoriale</w:t>
      </w:r>
      <w:r w:rsidR="002A1685">
        <w:rPr>
          <w:rFonts w:ascii="Century Gothic" w:hAnsi="Century Gothic" w:cs="Courier New"/>
          <w:color w:val="1F497D" w:themeColor="text2"/>
          <w:sz w:val="20"/>
          <w:szCs w:val="20"/>
        </w:rPr>
        <w:t>, le modalità di integrazione con la Banca</w:t>
      </w:r>
      <w:r w:rsidR="00ED6597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2A1685">
        <w:rPr>
          <w:rFonts w:ascii="Century Gothic" w:hAnsi="Century Gothic" w:cs="Courier New"/>
          <w:color w:val="1F497D" w:themeColor="text2"/>
          <w:sz w:val="20"/>
          <w:szCs w:val="20"/>
        </w:rPr>
        <w:t xml:space="preserve"> in termini anche di obbligazioni e garanzie</w:t>
      </w:r>
      <w:r w:rsidR="00197969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2A1685">
        <w:rPr>
          <w:rFonts w:ascii="Century Gothic" w:hAnsi="Century Gothic" w:cs="Courier New"/>
          <w:color w:val="1F497D" w:themeColor="text2"/>
          <w:sz w:val="20"/>
          <w:szCs w:val="20"/>
        </w:rPr>
        <w:t xml:space="preserve"> nonché le modalità di remunerazione e l’eventuale disponibilità di</w:t>
      </w:r>
      <w:r w:rsidR="002A168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una piatt</w:t>
      </w:r>
      <w:r w:rsidR="002A1685">
        <w:rPr>
          <w:rFonts w:ascii="Century Gothic" w:hAnsi="Century Gothic" w:cs="Courier New"/>
          <w:color w:val="1F497D" w:themeColor="text2"/>
          <w:sz w:val="20"/>
          <w:szCs w:val="20"/>
        </w:rPr>
        <w:t>a</w:t>
      </w:r>
      <w:r w:rsidR="002A1685" w:rsidRPr="00052599">
        <w:rPr>
          <w:rFonts w:ascii="Century Gothic" w:hAnsi="Century Gothic" w:cs="Courier New"/>
          <w:color w:val="1F497D" w:themeColor="text2"/>
          <w:sz w:val="20"/>
          <w:szCs w:val="20"/>
        </w:rPr>
        <w:t>forma integrata per monitorare il processo di ritiro</w:t>
      </w:r>
      <w:r w:rsidR="002A1685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2A168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1C3642">
        <w:rPr>
          <w:rFonts w:ascii="Century Gothic" w:hAnsi="Century Gothic" w:cs="Courier New"/>
          <w:color w:val="1F497D" w:themeColor="text2"/>
          <w:sz w:val="20"/>
          <w:szCs w:val="20"/>
        </w:rPr>
        <w:t xml:space="preserve">trasporto, </w:t>
      </w:r>
      <w:r w:rsidR="002A1685">
        <w:rPr>
          <w:rFonts w:ascii="Century Gothic" w:hAnsi="Century Gothic" w:cs="Courier New"/>
          <w:color w:val="1F497D" w:themeColor="text2"/>
          <w:sz w:val="20"/>
          <w:szCs w:val="20"/>
        </w:rPr>
        <w:t>contazione ed accredito dei valori</w:t>
      </w:r>
      <w:r w:rsidR="001C3642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2AC2" w:rsidRDefault="004C32D0" w:rsidP="00CE2AC2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La Banca ha esperienza nelle attività di </w:t>
      </w:r>
      <w:r w:rsidR="00CC449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supporto </w:t>
      </w:r>
      <w:r w:rsidR="00CE2AC2">
        <w:rPr>
          <w:rFonts w:ascii="Century Gothic" w:hAnsi="Century Gothic" w:cs="Courier New"/>
          <w:color w:val="1F497D" w:themeColor="text2"/>
          <w:sz w:val="20"/>
          <w:szCs w:val="20"/>
        </w:rPr>
        <w:t>funzionale al dialogo tra banche per la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gestione</w:t>
      </w:r>
      <w:r w:rsidR="00CC449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dei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titoli</w:t>
      </w:r>
      <w:r w:rsidR="00CC449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5A2A1F" w:rsidRPr="00052599">
        <w:rPr>
          <w:rFonts w:ascii="Century Gothic" w:hAnsi="Century Gothic" w:cs="Courier New"/>
          <w:color w:val="1F497D" w:themeColor="text2"/>
          <w:sz w:val="20"/>
          <w:szCs w:val="20"/>
        </w:rPr>
        <w:t>non andati a buon fine</w:t>
      </w:r>
      <w:r w:rsid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(assegni insoluti e</w:t>
      </w:r>
      <w:r w:rsidR="00ED6597">
        <w:rPr>
          <w:rFonts w:ascii="Century Gothic" w:hAnsi="Century Gothic" w:cs="Courier New"/>
          <w:color w:val="1F497D" w:themeColor="text2"/>
          <w:sz w:val="20"/>
          <w:szCs w:val="20"/>
        </w:rPr>
        <w:t>/o</w:t>
      </w:r>
      <w:r w:rsid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contraffatti)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  <w:r w:rsidR="00380010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In caso affermativo si richiede una sommaria descrizione del servizio.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2AC2" w:rsidRPr="00CE2AC2" w:rsidRDefault="004759D2" w:rsidP="00ED6597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ED6597">
        <w:rPr>
          <w:rFonts w:ascii="Century Gothic" w:hAnsi="Century Gothic" w:cs="Courier New"/>
          <w:color w:val="1F497D" w:themeColor="text2"/>
          <w:sz w:val="20"/>
          <w:szCs w:val="20"/>
        </w:rPr>
        <w:t>Con riferimento ad un “</w:t>
      </w:r>
      <w:r w:rsidR="00BF4071" w:rsidRPr="00ED6597">
        <w:rPr>
          <w:rFonts w:ascii="Century Gothic" w:hAnsi="Century Gothic" w:cs="Courier New"/>
          <w:color w:val="1F497D" w:themeColor="text2"/>
          <w:sz w:val="20"/>
          <w:szCs w:val="20"/>
        </w:rPr>
        <w:t>Sistema di gestione de</w:t>
      </w:r>
      <w:r w:rsid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i valori </w:t>
      </w:r>
      <w:r w:rsidR="00BF4071" w:rsidRPr="00ED6597">
        <w:rPr>
          <w:rFonts w:ascii="Century Gothic" w:hAnsi="Century Gothic" w:cs="Courier New"/>
          <w:color w:val="1F497D" w:themeColor="text2"/>
          <w:sz w:val="20"/>
          <w:szCs w:val="20"/>
        </w:rPr>
        <w:t>a ciclo chiuso</w:t>
      </w:r>
      <w:r w:rsidRPr="00ED6597">
        <w:rPr>
          <w:rFonts w:ascii="Century Gothic" w:hAnsi="Century Gothic" w:cs="Courier New"/>
          <w:color w:val="1F497D" w:themeColor="text2"/>
          <w:sz w:val="20"/>
          <w:szCs w:val="20"/>
        </w:rPr>
        <w:t>”</w:t>
      </w:r>
      <w:r w:rsidR="006779BB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la Banca ha già esperienza </w:t>
      </w:r>
      <w:r w:rsidR="009657EC">
        <w:rPr>
          <w:rFonts w:ascii="Century Gothic" w:hAnsi="Century Gothic" w:cs="Courier New"/>
          <w:color w:val="1F497D" w:themeColor="text2"/>
          <w:sz w:val="20"/>
          <w:szCs w:val="20"/>
        </w:rPr>
        <w:t>in</w:t>
      </w:r>
      <w:r w:rsidR="009657EC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9657EC">
        <w:rPr>
          <w:rFonts w:ascii="Century Gothic" w:hAnsi="Century Gothic" w:cs="Courier New"/>
          <w:color w:val="1F497D" w:themeColor="text2"/>
          <w:sz w:val="20"/>
          <w:szCs w:val="20"/>
        </w:rPr>
        <w:t xml:space="preserve">tali </w:t>
      </w:r>
      <w:r w:rsidR="00197969">
        <w:rPr>
          <w:rFonts w:ascii="Century Gothic" w:hAnsi="Century Gothic" w:cs="Courier New"/>
          <w:color w:val="1F497D" w:themeColor="text2"/>
          <w:sz w:val="20"/>
          <w:szCs w:val="20"/>
        </w:rPr>
        <w:t>sistemi</w:t>
      </w:r>
      <w:r w:rsidR="006779BB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? </w:t>
      </w:r>
      <w:r w:rsidR="002A1685">
        <w:rPr>
          <w:rFonts w:ascii="Century Gothic" w:hAnsi="Century Gothic" w:cs="Courier New"/>
          <w:color w:val="1F497D" w:themeColor="text2"/>
          <w:sz w:val="20"/>
          <w:szCs w:val="20"/>
        </w:rPr>
        <w:t>In caso affermativo si chiede di descrivere</w:t>
      </w:r>
      <w:r w:rsidR="002A1685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376740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 requisiti </w:t>
      </w:r>
      <w:r w:rsidR="002B29FB">
        <w:rPr>
          <w:rFonts w:ascii="Century Gothic" w:hAnsi="Century Gothic" w:cs="Courier New"/>
          <w:color w:val="1F497D" w:themeColor="text2"/>
          <w:sz w:val="20"/>
          <w:szCs w:val="20"/>
        </w:rPr>
        <w:t xml:space="preserve">necessari </w:t>
      </w:r>
      <w:r w:rsidR="00376740" w:rsidRPr="00052599">
        <w:rPr>
          <w:rFonts w:ascii="Century Gothic" w:hAnsi="Century Gothic" w:cs="Courier New"/>
          <w:color w:val="1F497D" w:themeColor="text2"/>
          <w:sz w:val="20"/>
          <w:szCs w:val="20"/>
        </w:rPr>
        <w:t>per la gestione dei valori</w:t>
      </w:r>
      <w:r w:rsidR="006A33AE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tramite</w:t>
      </w:r>
      <w:r w:rsidR="00376740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l’utilizzo di </w:t>
      </w:r>
      <w:r w:rsidR="00C90A38" w:rsidRPr="00052599">
        <w:rPr>
          <w:rFonts w:ascii="Century Gothic" w:hAnsi="Century Gothic" w:cs="Courier New"/>
          <w:color w:val="1F497D" w:themeColor="text2"/>
          <w:sz w:val="20"/>
          <w:szCs w:val="20"/>
        </w:rPr>
        <w:t>cass</w:t>
      </w:r>
      <w:r w:rsidR="00C90A38">
        <w:rPr>
          <w:rFonts w:ascii="Century Gothic" w:hAnsi="Century Gothic" w:cs="Courier New"/>
          <w:color w:val="1F497D" w:themeColor="text2"/>
          <w:sz w:val="20"/>
          <w:szCs w:val="20"/>
        </w:rPr>
        <w:t>e</w:t>
      </w:r>
      <w:r w:rsidR="00C90A38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forti </w:t>
      </w:r>
      <w:r w:rsidR="00376740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intelligenti ovvero </w:t>
      </w:r>
      <w:r w:rsidR="00CE2AC2">
        <w:rPr>
          <w:rFonts w:ascii="Century Gothic" w:hAnsi="Century Gothic" w:cs="Courier New"/>
          <w:color w:val="1F497D" w:themeColor="text2"/>
          <w:sz w:val="20"/>
          <w:szCs w:val="20"/>
        </w:rPr>
        <w:t>tramite “Sportelli ATM evoluto”</w:t>
      </w:r>
      <w:r w:rsidR="00BF4071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e </w:t>
      </w:r>
      <w:r w:rsidR="002B29FB">
        <w:rPr>
          <w:rFonts w:ascii="Century Gothic" w:hAnsi="Century Gothic" w:cs="Courier New"/>
          <w:color w:val="1F497D" w:themeColor="text2"/>
          <w:sz w:val="20"/>
          <w:szCs w:val="20"/>
        </w:rPr>
        <w:t xml:space="preserve">gli eventuali vantaggi derivanti dall’adozione di tali sistemi, </w:t>
      </w:r>
      <w:r w:rsidR="00CE2AC2" w:rsidRPr="00CE2AC2">
        <w:rPr>
          <w:rFonts w:ascii="Century Gothic" w:hAnsi="Century Gothic" w:cs="Courier New"/>
          <w:color w:val="1F497D" w:themeColor="text2"/>
          <w:sz w:val="20"/>
          <w:szCs w:val="20"/>
        </w:rPr>
        <w:t>anche mediante una gestione informatica integrata</w:t>
      </w:r>
      <w:r w:rsid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dedicata.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969" w:rsidRPr="00ED6597" w:rsidRDefault="005D7E1B" w:rsidP="00CE2AC2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La Banca, </w:t>
      </w:r>
      <w:r w:rsidR="002B29FB" w:rsidRPr="00ED6597">
        <w:rPr>
          <w:rFonts w:ascii="Century Gothic" w:hAnsi="Century Gothic" w:cs="Courier New"/>
          <w:color w:val="1F497D" w:themeColor="text2"/>
          <w:sz w:val="20"/>
          <w:szCs w:val="20"/>
        </w:rPr>
        <w:t>nell’ambito dei propri servizi di</w:t>
      </w:r>
      <w:r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gestione de</w:t>
      </w:r>
      <w:r w:rsidR="002B29FB" w:rsidRPr="00ED6597">
        <w:rPr>
          <w:rFonts w:ascii="Century Gothic" w:hAnsi="Century Gothic" w:cs="Courier New"/>
          <w:color w:val="1F497D" w:themeColor="text2"/>
          <w:sz w:val="20"/>
          <w:szCs w:val="20"/>
        </w:rPr>
        <w:t>i titoli e dei valori</w:t>
      </w:r>
      <w:r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contant</w:t>
      </w:r>
      <w:r w:rsidR="002B29FB" w:rsidRPr="00ED6597">
        <w:rPr>
          <w:rFonts w:ascii="Century Gothic" w:hAnsi="Century Gothic" w:cs="Courier New"/>
          <w:color w:val="1F497D" w:themeColor="text2"/>
          <w:sz w:val="20"/>
          <w:szCs w:val="20"/>
        </w:rPr>
        <w:t>i per i propri clienti</w:t>
      </w:r>
      <w:r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prevede </w:t>
      </w:r>
      <w:r w:rsidR="002B29FB" w:rsidRPr="00ED6597">
        <w:rPr>
          <w:rFonts w:ascii="Century Gothic" w:hAnsi="Century Gothic" w:cs="Courier New"/>
          <w:color w:val="1F497D" w:themeColor="text2"/>
          <w:sz w:val="20"/>
          <w:szCs w:val="20"/>
        </w:rPr>
        <w:t>la fornitura</w:t>
      </w:r>
      <w:r w:rsid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di</w:t>
      </w:r>
      <w:r w:rsidR="002B29FB"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ED6597">
        <w:rPr>
          <w:rFonts w:ascii="Century Gothic" w:hAnsi="Century Gothic" w:cs="Courier New"/>
          <w:color w:val="1F497D" w:themeColor="text2"/>
          <w:sz w:val="20"/>
          <w:szCs w:val="20"/>
        </w:rPr>
        <w:t>apparecchiature strumentali al versamento valori (</w:t>
      </w:r>
      <w:r w:rsidR="00C90A38" w:rsidRPr="00ED6597">
        <w:rPr>
          <w:rFonts w:ascii="Century Gothic" w:hAnsi="Century Gothic" w:cs="Courier New"/>
          <w:color w:val="1F497D" w:themeColor="text2"/>
          <w:sz w:val="20"/>
          <w:szCs w:val="20"/>
        </w:rPr>
        <w:t>macchin</w:t>
      </w:r>
      <w:r w:rsidR="00C90A38">
        <w:rPr>
          <w:rFonts w:ascii="Century Gothic" w:hAnsi="Century Gothic" w:cs="Courier New"/>
          <w:color w:val="1F497D" w:themeColor="text2"/>
          <w:sz w:val="20"/>
          <w:szCs w:val="20"/>
        </w:rPr>
        <w:t>e</w:t>
      </w:r>
      <w:r w:rsidR="00C90A38"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01454F"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per </w:t>
      </w:r>
      <w:r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verifica </w:t>
      </w:r>
      <w:r w:rsidR="002B29FB"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delle </w:t>
      </w:r>
      <w:r w:rsidRPr="00ED6597">
        <w:rPr>
          <w:rFonts w:ascii="Century Gothic" w:hAnsi="Century Gothic" w:cs="Courier New"/>
          <w:color w:val="1F497D" w:themeColor="text2"/>
          <w:sz w:val="20"/>
          <w:szCs w:val="20"/>
        </w:rPr>
        <w:t>banconote</w:t>
      </w:r>
      <w:r w:rsidR="002B29FB"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e </w:t>
      </w:r>
      <w:r w:rsidRPr="00ED6597">
        <w:rPr>
          <w:rFonts w:ascii="Century Gothic" w:hAnsi="Century Gothic" w:cs="Courier New"/>
          <w:color w:val="1F497D" w:themeColor="text2"/>
          <w:sz w:val="20"/>
          <w:szCs w:val="20"/>
        </w:rPr>
        <w:t>degli assegni)</w:t>
      </w:r>
      <w:r w:rsidR="00E90251" w:rsidRPr="00ED6597"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  <w:r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2131D1"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In caso affermativo </w:t>
      </w:r>
      <w:r w:rsidR="002131D1" w:rsidRPr="00ED6597">
        <w:rPr>
          <w:rFonts w:ascii="Century Gothic" w:hAnsi="Century Gothic" w:cs="Courier New"/>
          <w:color w:val="1F497D" w:themeColor="text2"/>
          <w:sz w:val="20"/>
          <w:szCs w:val="20"/>
        </w:rPr>
        <w:lastRenderedPageBreak/>
        <w:t xml:space="preserve">si chiede di descrivere caratteristiche di tali sistemi </w:t>
      </w:r>
      <w:r w:rsidR="00C90A38">
        <w:rPr>
          <w:rFonts w:ascii="Century Gothic" w:hAnsi="Century Gothic" w:cs="Courier New"/>
          <w:color w:val="1F497D" w:themeColor="text2"/>
          <w:sz w:val="20"/>
          <w:szCs w:val="20"/>
        </w:rPr>
        <w:t>e</w:t>
      </w:r>
      <w:r w:rsidR="00C90A38"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2131D1" w:rsidRPr="00ED6597">
        <w:rPr>
          <w:rFonts w:ascii="Century Gothic" w:hAnsi="Century Gothic" w:cs="Courier New"/>
          <w:color w:val="1F497D" w:themeColor="text2"/>
          <w:sz w:val="20"/>
          <w:szCs w:val="20"/>
        </w:rPr>
        <w:t xml:space="preserve">vantaggi derivanti dall’installazione, </w:t>
      </w:r>
      <w:r w:rsidR="00CE2AC2" w:rsidRPr="00ED6597">
        <w:rPr>
          <w:rFonts w:ascii="Century Gothic" w:hAnsi="Century Gothic" w:cs="Courier New"/>
          <w:color w:val="1F497D" w:themeColor="text2"/>
          <w:sz w:val="20"/>
          <w:szCs w:val="20"/>
        </w:rPr>
        <w:t>anche mediante una gestione informatica integrata dedicata.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C87" w:rsidRDefault="00D67C87" w:rsidP="00CE2AC2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CD43BD" w:rsidRPr="00052599" w:rsidRDefault="00CD43BD" w:rsidP="00CE2AC2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SERVIZI ACCESSORI</w:t>
      </w:r>
      <w:r w:rsidR="00EB76BA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 </w:t>
      </w:r>
      <w:r w:rsidR="00EB76BA" w:rsidRPr="00EB76BA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ALLA GESTIONE DEGLI INCASSI E DEI PAGAMENTI</w:t>
      </w:r>
    </w:p>
    <w:p w:rsidR="004F0AB7" w:rsidRPr="001F37C0" w:rsidRDefault="004F0AB7" w:rsidP="004F0AB7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1F37C0">
        <w:rPr>
          <w:rFonts w:ascii="Century Gothic" w:hAnsi="Century Gothic" w:cs="Courier New"/>
          <w:color w:val="1F497D" w:themeColor="text2"/>
          <w:sz w:val="20"/>
          <w:szCs w:val="20"/>
        </w:rPr>
        <w:t xml:space="preserve">Con riferimento </w:t>
      </w:r>
      <w:r w:rsidR="001F37C0" w:rsidRPr="001F37C0">
        <w:rPr>
          <w:rFonts w:ascii="Century Gothic" w:hAnsi="Century Gothic" w:cs="Courier New"/>
          <w:color w:val="1F497D" w:themeColor="text2"/>
          <w:sz w:val="20"/>
          <w:szCs w:val="20"/>
        </w:rPr>
        <w:t>alla gestione degli incassi e dei pagamenti</w:t>
      </w:r>
      <w:r w:rsidR="00890603" w:rsidRPr="001F37C0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</w:t>
      </w:r>
      <w:r w:rsidR="009A1687" w:rsidRPr="001F37C0">
        <w:rPr>
          <w:rFonts w:ascii="Century Gothic" w:hAnsi="Century Gothic" w:cs="Courier New"/>
          <w:color w:val="1F497D" w:themeColor="text2"/>
          <w:sz w:val="20"/>
          <w:szCs w:val="20"/>
        </w:rPr>
        <w:t xml:space="preserve">si chiede </w:t>
      </w:r>
      <w:r w:rsidR="00C90A38">
        <w:rPr>
          <w:rFonts w:ascii="Century Gothic" w:hAnsi="Century Gothic" w:cs="Courier New"/>
          <w:color w:val="1F497D" w:themeColor="text2"/>
          <w:sz w:val="20"/>
          <w:szCs w:val="20"/>
        </w:rPr>
        <w:t xml:space="preserve">quale </w:t>
      </w:r>
      <w:r w:rsidR="001F37C0">
        <w:rPr>
          <w:rFonts w:ascii="Century Gothic" w:hAnsi="Century Gothic" w:cs="Courier New"/>
          <w:color w:val="1F497D" w:themeColor="text2"/>
          <w:sz w:val="20"/>
          <w:szCs w:val="20"/>
        </w:rPr>
        <w:t xml:space="preserve">tipologia di flussi di rendicontazione </w:t>
      </w:r>
      <w:r w:rsidR="001F37C0" w:rsidRPr="001F37C0">
        <w:rPr>
          <w:rFonts w:ascii="Century Gothic" w:hAnsi="Century Gothic" w:cs="Courier New"/>
          <w:color w:val="1F497D" w:themeColor="text2"/>
          <w:sz w:val="20"/>
          <w:szCs w:val="20"/>
        </w:rPr>
        <w:t xml:space="preserve">la Banca sia in grado di </w:t>
      </w:r>
      <w:r w:rsidR="001F37C0">
        <w:rPr>
          <w:rFonts w:ascii="Century Gothic" w:hAnsi="Century Gothic" w:cs="Courier New"/>
          <w:color w:val="1F497D" w:themeColor="text2"/>
          <w:sz w:val="20"/>
          <w:szCs w:val="20"/>
        </w:rPr>
        <w:t xml:space="preserve">mettere a disposizione e </w:t>
      </w:r>
      <w:r w:rsidR="003331E6">
        <w:rPr>
          <w:rFonts w:ascii="Century Gothic" w:hAnsi="Century Gothic" w:cs="Courier New"/>
          <w:color w:val="1F497D" w:themeColor="text2"/>
          <w:sz w:val="20"/>
          <w:szCs w:val="20"/>
        </w:rPr>
        <w:t>se la stessa è in grado di personalizzarli in funzione del</w:t>
      </w:r>
      <w:r w:rsidR="001F37C0" w:rsidRPr="001F37C0">
        <w:rPr>
          <w:rFonts w:ascii="Century Gothic" w:hAnsi="Century Gothic" w:cs="Courier New"/>
          <w:color w:val="1F497D" w:themeColor="text2"/>
          <w:sz w:val="20"/>
          <w:szCs w:val="20"/>
        </w:rPr>
        <w:t xml:space="preserve">le esigenze di AdeR.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7C87" w:rsidRDefault="00D67C87" w:rsidP="001706F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1706FE" w:rsidRDefault="001706FE" w:rsidP="001706F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>ALTRE INFORMAZIONI</w:t>
      </w:r>
    </w:p>
    <w:p w:rsidR="003331E6" w:rsidRDefault="00E30CE2" w:rsidP="00CE2AC2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Con riferimento alla gestione finanziaria accentrata, </w:t>
      </w:r>
      <w:r w:rsidR="007E780E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quali </w:t>
      </w:r>
      <w:r w:rsidR="003331E6">
        <w:rPr>
          <w:rFonts w:ascii="Century Gothic" w:hAnsi="Century Gothic" w:cs="Courier New"/>
          <w:color w:val="1F497D" w:themeColor="text2"/>
          <w:sz w:val="20"/>
          <w:szCs w:val="20"/>
        </w:rPr>
        <w:t>potrebbero essere</w:t>
      </w:r>
      <w:r w:rsidR="007E780E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le forme di </w:t>
      </w:r>
      <w:r w:rsidRPr="00CE2AC2">
        <w:rPr>
          <w:rFonts w:ascii="Century Gothic" w:hAnsi="Century Gothic" w:cs="Courier New"/>
          <w:color w:val="1F497D" w:themeColor="text2"/>
          <w:sz w:val="20"/>
          <w:szCs w:val="20"/>
        </w:rPr>
        <w:t>remunerazione delle giacenze finanziarie</w:t>
      </w:r>
      <w:r w:rsidR="007E780E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riconosciute dalla banca </w:t>
      </w:r>
      <w:r w:rsidR="003331E6">
        <w:rPr>
          <w:rFonts w:ascii="Century Gothic" w:hAnsi="Century Gothic" w:cs="Courier New"/>
          <w:color w:val="1F497D" w:themeColor="text2"/>
          <w:sz w:val="20"/>
          <w:szCs w:val="20"/>
        </w:rPr>
        <w:t>ad AdeR,</w:t>
      </w:r>
      <w:r w:rsidR="009A1687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nonché le modalità di determinazione degli oneri </w:t>
      </w:r>
      <w:r w:rsidR="003331E6">
        <w:rPr>
          <w:rFonts w:ascii="Century Gothic" w:hAnsi="Century Gothic" w:cs="Courier New"/>
          <w:color w:val="1F497D" w:themeColor="text2"/>
          <w:sz w:val="20"/>
          <w:szCs w:val="20"/>
        </w:rPr>
        <w:t xml:space="preserve">passivi </w:t>
      </w:r>
      <w:r w:rsidR="009A1687" w:rsidRPr="00CE2AC2">
        <w:rPr>
          <w:rFonts w:ascii="Century Gothic" w:hAnsi="Century Gothic" w:cs="Courier New"/>
          <w:color w:val="1F497D" w:themeColor="text2"/>
          <w:sz w:val="20"/>
          <w:szCs w:val="20"/>
        </w:rPr>
        <w:t>derivanti dall</w:t>
      </w:r>
      <w:r w:rsidR="003331E6">
        <w:rPr>
          <w:rFonts w:ascii="Century Gothic" w:hAnsi="Century Gothic" w:cs="Courier New"/>
          <w:color w:val="1F497D" w:themeColor="text2"/>
          <w:sz w:val="20"/>
          <w:szCs w:val="20"/>
        </w:rPr>
        <w:t>’utilizzo delle</w:t>
      </w:r>
      <w:r w:rsidR="009A1687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anticipazioni di cassa</w:t>
      </w:r>
      <w:r w:rsidRPr="00CE2AC2"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  <w:r w:rsidR="00A759FD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</w:p>
    <w:p w:rsidR="0013790D" w:rsidRPr="00CE2AC2" w:rsidRDefault="007E780E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Si chiede di descrivere le modalità </w:t>
      </w:r>
      <w:r w:rsidR="009A1687" w:rsidRPr="00CE2AC2">
        <w:rPr>
          <w:rFonts w:ascii="Century Gothic" w:hAnsi="Century Gothic" w:cs="Courier New"/>
          <w:color w:val="1F497D" w:themeColor="text2"/>
          <w:sz w:val="20"/>
          <w:szCs w:val="20"/>
        </w:rPr>
        <w:t>adottate per contratti in</w:t>
      </w:r>
      <w:r w:rsidR="00CE2AC2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9A1687" w:rsidRPr="00CE2AC2">
        <w:rPr>
          <w:rFonts w:ascii="Century Gothic" w:hAnsi="Century Gothic" w:cs="Courier New"/>
          <w:color w:val="1F497D" w:themeColor="text2"/>
          <w:sz w:val="20"/>
          <w:szCs w:val="20"/>
        </w:rPr>
        <w:t>corso</w:t>
      </w:r>
      <w:r w:rsidR="003331E6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9A1687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aventi ad oggetto il servizio di tesoreria per enti pubblici</w:t>
      </w:r>
      <w:r w:rsidR="003331E6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9A1687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con cui </w:t>
      </w:r>
      <w:r w:rsidR="009A1687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è remunerata sia la giacenza sia l’anticipazione di cassa, con l’indicazione degli eventuali parametri </w:t>
      </w:r>
      <w:r w:rsidR="00A11E2F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 riferimento </w:t>
      </w:r>
      <w:r w:rsidR="009A1687" w:rsidRPr="00CE2AC2">
        <w:rPr>
          <w:rFonts w:ascii="Century Gothic" w:hAnsi="Century Gothic" w:cs="Courier New"/>
          <w:color w:val="1F497D" w:themeColor="text2"/>
          <w:sz w:val="20"/>
          <w:szCs w:val="20"/>
        </w:rPr>
        <w:t>e</w:t>
      </w:r>
      <w:r w:rsidR="00A759FD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9A1687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meccanismi </w:t>
      </w:r>
      <w:r w:rsidR="00A759FD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di revisione </w:t>
      </w:r>
      <w:r w:rsidR="009A1687" w:rsidRPr="00CE2AC2">
        <w:rPr>
          <w:rFonts w:ascii="Century Gothic" w:hAnsi="Century Gothic" w:cs="Courier New"/>
          <w:color w:val="1F497D" w:themeColor="text2"/>
          <w:sz w:val="20"/>
          <w:szCs w:val="20"/>
        </w:rPr>
        <w:t>periodici utilizzati/ut</w:t>
      </w:r>
      <w:r w:rsidR="00C90A38">
        <w:rPr>
          <w:rFonts w:ascii="Century Gothic" w:hAnsi="Century Gothic" w:cs="Courier New"/>
          <w:color w:val="1F497D" w:themeColor="text2"/>
          <w:sz w:val="20"/>
          <w:szCs w:val="20"/>
        </w:rPr>
        <w:t>i</w:t>
      </w:r>
      <w:r w:rsidR="009A1687" w:rsidRPr="00CE2AC2">
        <w:rPr>
          <w:rFonts w:ascii="Century Gothic" w:hAnsi="Century Gothic" w:cs="Courier New"/>
          <w:color w:val="1F497D" w:themeColor="text2"/>
          <w:sz w:val="20"/>
          <w:szCs w:val="20"/>
        </w:rPr>
        <w:t xml:space="preserve">lizzabili in ragione </w:t>
      </w:r>
      <w:r w:rsidR="00CE2AC2" w:rsidRPr="00CE2AC2">
        <w:rPr>
          <w:rFonts w:ascii="Century Gothic" w:hAnsi="Century Gothic" w:cs="Courier New"/>
          <w:color w:val="1F497D" w:themeColor="text2"/>
          <w:sz w:val="20"/>
          <w:szCs w:val="20"/>
        </w:rPr>
        <w:t>dell’andamento del mercato</w:t>
      </w:r>
      <w:r w:rsidR="00C90A38">
        <w:rPr>
          <w:rFonts w:ascii="Century Gothic" w:hAnsi="Century Gothic" w:cs="Courier New"/>
          <w:color w:val="1F497D" w:themeColor="text2"/>
          <w:sz w:val="20"/>
          <w:szCs w:val="20"/>
        </w:rPr>
        <w:t>.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80E" w:rsidRPr="00893074" w:rsidRDefault="001F37C0" w:rsidP="007E780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Quale è il </w:t>
      </w:r>
      <w:r w:rsidR="007E780E" w:rsidRPr="008930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fatturato specifico annuale </w:t>
      </w:r>
      <w:r w:rsidR="00C90A38">
        <w:rPr>
          <w:rFonts w:ascii="Century Gothic" w:hAnsi="Century Gothic" w:cs="Courier New"/>
          <w:color w:val="1F497D" w:themeColor="text2"/>
          <w:sz w:val="20"/>
          <w:szCs w:val="20"/>
        </w:rPr>
        <w:t xml:space="preserve">che </w:t>
      </w:r>
      <w:r w:rsidR="007E780E" w:rsidRPr="00893074">
        <w:rPr>
          <w:rFonts w:ascii="Century Gothic" w:hAnsi="Century Gothic" w:cs="Courier New"/>
          <w:color w:val="1F497D" w:themeColor="text2"/>
          <w:sz w:val="20"/>
          <w:szCs w:val="20"/>
        </w:rPr>
        <w:t xml:space="preserve">la Banca ha conseguito nell’ultimo triennio per i servizi di tesoreria rivolti in favore di enti pubblici?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36"/>
        <w:gridCol w:w="2245"/>
        <w:gridCol w:w="1837"/>
      </w:tblGrid>
      <w:tr w:rsidR="001F37C0" w:rsidRPr="00052599" w:rsidTr="001F37C0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7C0" w:rsidRPr="00753CF1" w:rsidRDefault="001F37C0" w:rsidP="00EB76BA">
            <w:pPr>
              <w:pStyle w:val="BodyText21"/>
              <w:spacing w:line="360" w:lineRule="auto"/>
              <w:jc w:val="center"/>
              <w:rPr>
                <w:rFonts w:ascii="Century Gothic" w:hAnsi="Century Gothic" w:cs="Arial"/>
                <w:bCs/>
                <w:iCs/>
                <w:sz w:val="22"/>
                <w:szCs w:val="22"/>
              </w:rPr>
            </w:pPr>
            <w:r w:rsidRPr="00753CF1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201</w:t>
            </w:r>
            <w:r w:rsidR="00EB76BA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7C0" w:rsidRPr="00753CF1" w:rsidRDefault="001F37C0" w:rsidP="001C3642">
            <w:pPr>
              <w:pStyle w:val="BodyText21"/>
              <w:tabs>
                <w:tab w:val="left" w:pos="1028"/>
              </w:tabs>
              <w:spacing w:line="360" w:lineRule="auto"/>
              <w:ind w:right="32"/>
              <w:jc w:val="center"/>
              <w:rPr>
                <w:rFonts w:ascii="Century Gothic" w:hAnsi="Century Gothic" w:cs="Arial"/>
                <w:bCs/>
                <w:iCs/>
                <w:sz w:val="22"/>
                <w:szCs w:val="22"/>
              </w:rPr>
            </w:pPr>
            <w:r w:rsidRPr="00753CF1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2015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7C0" w:rsidRPr="00753CF1" w:rsidRDefault="001F37C0" w:rsidP="00EB76BA">
            <w:pPr>
              <w:pStyle w:val="BodyText21"/>
              <w:spacing w:line="360" w:lineRule="auto"/>
              <w:ind w:right="1"/>
              <w:jc w:val="center"/>
              <w:rPr>
                <w:rFonts w:ascii="Century Gothic" w:hAnsi="Century Gothic" w:cs="Arial"/>
                <w:bCs/>
                <w:iCs/>
                <w:sz w:val="22"/>
                <w:szCs w:val="22"/>
              </w:rPr>
            </w:pPr>
            <w:r w:rsidRPr="00753CF1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201</w:t>
            </w:r>
            <w:r w:rsidR="00EB76BA">
              <w:rPr>
                <w:rFonts w:ascii="Century Gothic" w:hAnsi="Century Gothic" w:cs="Arial"/>
                <w:bCs/>
                <w:iCs/>
                <w:sz w:val="22"/>
                <w:szCs w:val="22"/>
              </w:rPr>
              <w:t>4</w:t>
            </w:r>
          </w:p>
        </w:tc>
      </w:tr>
      <w:tr w:rsidR="001F37C0" w:rsidRPr="00052599" w:rsidTr="001F37C0">
        <w:trPr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C0" w:rsidRPr="00753CF1" w:rsidRDefault="00EB76BA" w:rsidP="001C3642">
            <w:pPr>
              <w:pStyle w:val="BodyText21"/>
              <w:spacing w:line="360" w:lineRule="auto"/>
              <w:ind w:right="282"/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€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C0" w:rsidRPr="00753CF1" w:rsidRDefault="00EB76BA" w:rsidP="001C3642">
            <w:pPr>
              <w:pStyle w:val="BodyText21"/>
              <w:tabs>
                <w:tab w:val="left" w:pos="1028"/>
              </w:tabs>
              <w:spacing w:line="360" w:lineRule="auto"/>
              <w:ind w:right="32"/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€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C0" w:rsidRPr="00753CF1" w:rsidRDefault="00EB76BA" w:rsidP="001C3642">
            <w:pPr>
              <w:pStyle w:val="BodyText21"/>
              <w:spacing w:line="360" w:lineRule="auto"/>
              <w:ind w:right="1"/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€</w:t>
            </w:r>
          </w:p>
        </w:tc>
      </w:tr>
    </w:tbl>
    <w:p w:rsidR="00EB76BA" w:rsidRDefault="00EB76BA" w:rsidP="007E780E">
      <w:pPr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lastRenderedPageBreak/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780E" w:rsidRDefault="007E780E" w:rsidP="007E780E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Qual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è il valore medio d</w:t>
      </w:r>
      <w:r w:rsidR="002D5EF9">
        <w:rPr>
          <w:rFonts w:ascii="Century Gothic" w:hAnsi="Century Gothic" w:cs="Courier New"/>
          <w:color w:val="1F497D" w:themeColor="text2"/>
          <w:sz w:val="20"/>
          <w:szCs w:val="20"/>
        </w:rPr>
        <w:t>elle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C90A38" w:rsidRPr="00052599">
        <w:rPr>
          <w:rFonts w:ascii="Century Gothic" w:hAnsi="Century Gothic" w:cs="Courier New"/>
          <w:color w:val="1F497D" w:themeColor="text2"/>
          <w:sz w:val="20"/>
          <w:szCs w:val="20"/>
        </w:rPr>
        <w:t>anticipazion</w:t>
      </w:r>
      <w:r w:rsidR="00C90A38">
        <w:rPr>
          <w:rFonts w:ascii="Century Gothic" w:hAnsi="Century Gothic" w:cs="Courier New"/>
          <w:color w:val="1F497D" w:themeColor="text2"/>
          <w:sz w:val="20"/>
          <w:szCs w:val="20"/>
        </w:rPr>
        <w:t>i</w:t>
      </w:r>
      <w:r w:rsidR="00C90A38"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di cassa concess</w:t>
      </w:r>
      <w:r w:rsidR="002D5EF9">
        <w:rPr>
          <w:rFonts w:ascii="Century Gothic" w:hAnsi="Century Gothic" w:cs="Courier New"/>
          <w:color w:val="1F497D" w:themeColor="text2"/>
          <w:sz w:val="20"/>
          <w:szCs w:val="20"/>
        </w:rPr>
        <w:t xml:space="preserve">e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su base annuale</w:t>
      </w:r>
      <w:r w:rsidR="002D5EF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per tipologia di ente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 xml:space="preserve"> </w:t>
      </w:r>
      <w:r w:rsidR="003331E6">
        <w:rPr>
          <w:rFonts w:ascii="Century Gothic" w:hAnsi="Century Gothic" w:cs="Courier New"/>
          <w:color w:val="1F497D" w:themeColor="text2"/>
          <w:sz w:val="20"/>
          <w:szCs w:val="20"/>
        </w:rPr>
        <w:t>ed il numero de</w:t>
      </w:r>
      <w:r w:rsidR="002D5EF9">
        <w:rPr>
          <w:rFonts w:ascii="Century Gothic" w:hAnsi="Century Gothic" w:cs="Courier New"/>
          <w:color w:val="1F497D" w:themeColor="text2"/>
          <w:sz w:val="20"/>
          <w:szCs w:val="20"/>
        </w:rPr>
        <w:t>gli enti</w:t>
      </w:r>
      <w:r w:rsidR="003331E6">
        <w:rPr>
          <w:rFonts w:ascii="Century Gothic" w:hAnsi="Century Gothic" w:cs="Courier New"/>
          <w:color w:val="1F497D" w:themeColor="text2"/>
          <w:sz w:val="20"/>
          <w:szCs w:val="20"/>
        </w:rPr>
        <w:t xml:space="preserve"> per cui </w:t>
      </w:r>
      <w:r w:rsidRPr="00052599">
        <w:rPr>
          <w:rFonts w:ascii="Century Gothic" w:hAnsi="Century Gothic" w:cs="Courier New"/>
          <w:color w:val="1F497D" w:themeColor="text2"/>
          <w:sz w:val="20"/>
          <w:szCs w:val="20"/>
        </w:rPr>
        <w:t>la Banca svolge il servizio di tesoreria</w:t>
      </w:r>
      <w:r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</w:p>
    <w:p w:rsidR="00EB76BA" w:rsidRDefault="00EB76BA" w:rsidP="00EB76BA">
      <w:p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tbl>
      <w:tblPr>
        <w:tblW w:w="59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360"/>
        <w:gridCol w:w="2060"/>
      </w:tblGrid>
      <w:tr w:rsidR="00EB76BA" w:rsidRPr="00EB76BA" w:rsidTr="00826204">
        <w:trPr>
          <w:trHeight w:val="735"/>
          <w:jc w:val="center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it-IT"/>
              </w:rPr>
              <w:t>Anticipazione di cassa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>Nr.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6BA" w:rsidRPr="00EB76BA" w:rsidRDefault="002D5EF9" w:rsidP="002D5EF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</w:pPr>
            <w:r w:rsidRPr="002D5EF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 xml:space="preserve">Valore medio 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 xml:space="preserve">su base </w:t>
            </w:r>
            <w:r w:rsidRPr="002D5EF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>annu</w:t>
            </w: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>ale</w:t>
            </w:r>
            <w:r w:rsidRPr="002D5EF9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EB76BA" w:rsidRPr="00EB76BA" w:rsidTr="00826204">
        <w:trPr>
          <w:trHeight w:val="69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>Enti pubblici non territoriali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B76BA" w:rsidRPr="00EB76BA" w:rsidTr="00826204">
        <w:trPr>
          <w:trHeight w:val="69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>Comuni / Città Metropolitane / Regioni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B76BA" w:rsidRPr="00EB76BA" w:rsidTr="00826204">
        <w:trPr>
          <w:trHeight w:val="69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>Aziende Sanitarie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 </w:t>
            </w:r>
          </w:p>
        </w:tc>
      </w:tr>
      <w:tr w:rsidR="00EB76BA" w:rsidRPr="00EB76BA" w:rsidTr="00826204">
        <w:trPr>
          <w:trHeight w:val="690"/>
          <w:jc w:val="center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it-IT"/>
              </w:rPr>
              <w:t>Altri Enti pubblici territoriali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6BA" w:rsidRPr="00EB76BA" w:rsidRDefault="00EB76BA" w:rsidP="00EB76B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lang w:eastAsia="it-IT"/>
              </w:rPr>
            </w:pPr>
            <w:r w:rsidRPr="00EB76BA">
              <w:rPr>
                <w:rFonts w:ascii="Century Gothic" w:eastAsia="Times New Roman" w:hAnsi="Century Gothic" w:cs="Times New Roman"/>
                <w:color w:val="000000"/>
                <w:lang w:eastAsia="it-IT"/>
              </w:rPr>
              <w:t> </w:t>
            </w:r>
          </w:p>
        </w:tc>
      </w:tr>
    </w:tbl>
    <w:p w:rsidR="00EB76BA" w:rsidRDefault="00EB76BA" w:rsidP="00EB76BA">
      <w:pPr>
        <w:spacing w:after="0"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p w:rsidR="00CD43BD" w:rsidRPr="00052599" w:rsidRDefault="004D46A5" w:rsidP="00DE6E3A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D67C87">
        <w:rPr>
          <w:rFonts w:ascii="Century Gothic" w:hAnsi="Century Gothic" w:cs="Courier New"/>
          <w:color w:val="1F497D" w:themeColor="text2"/>
          <w:sz w:val="20"/>
          <w:szCs w:val="20"/>
        </w:rPr>
        <w:t>Quale è il livello di solidità patrimoniale della banca e le eventuali certificazioni di qualità possedute dalla stessa nell’ambito dei servizi sopra descritti</w:t>
      </w:r>
      <w:r w:rsidR="00C90A38" w:rsidRPr="00D67C87"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D67C87" w:rsidRPr="00052599" w:rsidRDefault="00D67C87" w:rsidP="00D67C87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6E3A" w:rsidRPr="00052599" w:rsidRDefault="00E13B2F" w:rsidP="00CD43BD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Quali </w:t>
      </w:r>
      <w:r w:rsidR="004D46A5" w:rsidRPr="00D67C87">
        <w:rPr>
          <w:rFonts w:ascii="Century Gothic" w:hAnsi="Century Gothic" w:cs="Courier New"/>
          <w:color w:val="1F497D" w:themeColor="text2"/>
          <w:sz w:val="20"/>
          <w:szCs w:val="20"/>
        </w:rPr>
        <w:t>sono le modalità di remunerazione</w:t>
      </w:r>
      <w:r w:rsidR="000D4F54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e di fatturazione</w:t>
      </w:r>
      <w:r w:rsidR="004D46A5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dei servizi di tesoreria sopradescritti</w:t>
      </w:r>
      <w:r w:rsidR="009971C9" w:rsidRPr="00D67C87">
        <w:rPr>
          <w:rFonts w:ascii="Century Gothic" w:hAnsi="Century Gothic" w:cs="Courier New"/>
          <w:color w:val="1F497D" w:themeColor="text2"/>
          <w:sz w:val="20"/>
          <w:szCs w:val="20"/>
        </w:rPr>
        <w:t>,</w:t>
      </w:r>
      <w:r w:rsidR="004D46A5"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 nonché i prezzi normalmente praticati per i servizi indicati nella tabella di seguito indicata</w:t>
      </w:r>
      <w:r w:rsidR="00ED50C4" w:rsidRPr="00D67C87">
        <w:rPr>
          <w:rFonts w:ascii="Century Gothic" w:hAnsi="Century Gothic" w:cs="Courier New"/>
          <w:color w:val="1F497D" w:themeColor="text2"/>
          <w:sz w:val="20"/>
          <w:szCs w:val="20"/>
        </w:rPr>
        <w:t>, secondo lo schema sottoriportato, dettagliando analiticamente le principali voci d’uso</w:t>
      </w:r>
      <w:r w:rsidR="00C90A38" w:rsidRPr="00D67C87"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</w:p>
    <w:p w:rsidR="00E13B2F" w:rsidRPr="00052599" w:rsidRDefault="00E13B2F" w:rsidP="00E13B2F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color w:val="1F497D" w:themeColor="text2"/>
          <w:sz w:val="20"/>
          <w:szCs w:val="20"/>
        </w:rPr>
        <w:t xml:space="preserve">Risposta: </w:t>
      </w:r>
    </w:p>
    <w:tbl>
      <w:tblPr>
        <w:tblW w:w="814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2410"/>
        <w:gridCol w:w="1275"/>
        <w:gridCol w:w="1204"/>
      </w:tblGrid>
      <w:tr w:rsidR="00826204" w:rsidRPr="00826204" w:rsidTr="0080797D">
        <w:trPr>
          <w:trHeight w:val="300"/>
          <w:tblHeader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EF" w:rsidRPr="00826204" w:rsidRDefault="00F27FEF" w:rsidP="002A0804">
            <w:pPr>
              <w:ind w:left="71"/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EF" w:rsidRPr="00826204" w:rsidRDefault="00F27FEF" w:rsidP="00AD3D3D">
            <w:pPr>
              <w:jc w:val="center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EF" w:rsidRPr="00826204" w:rsidRDefault="00F27FEF" w:rsidP="00AD3D3D">
            <w:pPr>
              <w:jc w:val="center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  <w:r w:rsidRPr="00826204"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  <w:t>Unità di Misura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EF" w:rsidRPr="00826204" w:rsidRDefault="00F27FEF" w:rsidP="00AD3D3D">
            <w:pPr>
              <w:jc w:val="center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  <w:r w:rsidRPr="00826204"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  <w:t>Prezzo unitario</w:t>
            </w:r>
          </w:p>
        </w:tc>
      </w:tr>
      <w:tr w:rsidR="00826204" w:rsidRPr="00826204" w:rsidTr="00826204">
        <w:trPr>
          <w:trHeight w:val="5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7FEF" w:rsidRPr="00826204" w:rsidRDefault="00ED50C4" w:rsidP="00ED50C4">
            <w:pPr>
              <w:ind w:left="71" w:right="213"/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  <w:r w:rsidRPr="00826204"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  <w:t>Gestione accentrata delle disponibilità finanziarie di AdeR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EF" w:rsidRPr="00826204" w:rsidRDefault="00F27FEF" w:rsidP="00AD3D3D">
            <w:pPr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EF" w:rsidRPr="00826204" w:rsidRDefault="00F27FEF" w:rsidP="00AD3D3D">
            <w:pPr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EF" w:rsidRPr="00826204" w:rsidRDefault="00F27FEF" w:rsidP="00AD3D3D">
            <w:pPr>
              <w:ind w:left="24"/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</w:tr>
      <w:tr w:rsidR="00826204" w:rsidRPr="00826204" w:rsidTr="00826204">
        <w:trPr>
          <w:trHeight w:val="5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D50C4" w:rsidRPr="00826204" w:rsidRDefault="00ED50C4" w:rsidP="00552BB2">
            <w:pPr>
              <w:ind w:left="71"/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  <w:r w:rsidRPr="00826204"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  <w:lastRenderedPageBreak/>
              <w:t>Anticipazione di Cassa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4" w:rsidRPr="00826204" w:rsidRDefault="00ED50C4" w:rsidP="00552BB2">
            <w:pPr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C4" w:rsidRPr="00826204" w:rsidRDefault="00ED50C4" w:rsidP="00552BB2">
            <w:pPr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C4" w:rsidRPr="00826204" w:rsidRDefault="00ED50C4" w:rsidP="00552BB2">
            <w:pPr>
              <w:ind w:left="24"/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</w:tr>
      <w:tr w:rsidR="00826204" w:rsidRPr="00826204" w:rsidTr="00826204">
        <w:trPr>
          <w:trHeight w:val="5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D50C4" w:rsidRPr="00826204" w:rsidRDefault="00ED50C4" w:rsidP="00552BB2">
            <w:pPr>
              <w:ind w:left="71"/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  <w:r w:rsidRPr="00826204"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  <w:t>Servizi di incasso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4" w:rsidRPr="00826204" w:rsidRDefault="00ED50C4" w:rsidP="00552BB2">
            <w:pPr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C4" w:rsidRPr="00826204" w:rsidRDefault="00ED50C4" w:rsidP="00552BB2">
            <w:pPr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C4" w:rsidRPr="00826204" w:rsidRDefault="00ED50C4" w:rsidP="00552BB2">
            <w:pPr>
              <w:ind w:left="24"/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</w:tr>
      <w:tr w:rsidR="00826204" w:rsidRPr="00826204" w:rsidTr="00826204">
        <w:trPr>
          <w:trHeight w:val="5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7FEF" w:rsidRPr="00826204" w:rsidRDefault="00ED50C4" w:rsidP="002A0804">
            <w:pPr>
              <w:ind w:left="71"/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  <w:r w:rsidRPr="00826204"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  <w:t>Servizi di pagamento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EF" w:rsidRPr="00826204" w:rsidRDefault="00F27FEF" w:rsidP="00AD3D3D">
            <w:pPr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EF" w:rsidRPr="00826204" w:rsidRDefault="00F27FEF" w:rsidP="00AD3D3D">
            <w:pPr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EF" w:rsidRPr="00826204" w:rsidRDefault="00F27FEF" w:rsidP="00AD3D3D">
            <w:pPr>
              <w:ind w:left="24"/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</w:tr>
      <w:tr w:rsidR="00826204" w:rsidRPr="00826204" w:rsidTr="00826204">
        <w:trPr>
          <w:trHeight w:val="5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27FEF" w:rsidRPr="00826204" w:rsidRDefault="00157621" w:rsidP="00ED50C4">
            <w:pPr>
              <w:ind w:left="71"/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  <w:r w:rsidRPr="00826204"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  <w:t>Servizi di ritiro</w:t>
            </w:r>
            <w:r w:rsidR="00ED50C4" w:rsidRPr="00826204"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  <w:t xml:space="preserve"> e trasporto</w:t>
            </w:r>
            <w:r w:rsidRPr="00826204"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  <w:t xml:space="preserve"> valori, amministrazione e custodia titoli e valor</w:t>
            </w:r>
            <w:r w:rsidR="009971C9" w:rsidRPr="00826204"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  <w:t xml:space="preserve">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EF" w:rsidRPr="00826204" w:rsidRDefault="00F27FEF" w:rsidP="00AD3D3D">
            <w:pPr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EF" w:rsidRPr="00826204" w:rsidRDefault="00F27FEF" w:rsidP="00AD3D3D">
            <w:pPr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EF" w:rsidRPr="00826204" w:rsidRDefault="00F27FEF" w:rsidP="00AD3D3D">
            <w:pPr>
              <w:ind w:left="24"/>
              <w:jc w:val="both"/>
              <w:rPr>
                <w:rFonts w:ascii="Century Gothic" w:hAnsi="Century Gothic" w:cs="Courier New"/>
                <w:b/>
                <w:bCs/>
                <w:i/>
                <w:sz w:val="20"/>
                <w:szCs w:val="20"/>
              </w:rPr>
            </w:pPr>
          </w:p>
        </w:tc>
      </w:tr>
    </w:tbl>
    <w:p w:rsidR="00E13B2F" w:rsidRPr="00052599" w:rsidRDefault="00E13B2F" w:rsidP="002A0804">
      <w:pPr>
        <w:spacing w:after="0" w:line="360" w:lineRule="auto"/>
        <w:ind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p w:rsidR="004F3E59" w:rsidRPr="00052599" w:rsidRDefault="004F3E59" w:rsidP="004B5B90">
      <w:pPr>
        <w:numPr>
          <w:ilvl w:val="0"/>
          <w:numId w:val="17"/>
        </w:num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  <w:r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Quali segnalazioni (es. in merito a criticità, punti di attenzione, aree di </w:t>
      </w:r>
      <w:r w:rsidR="007E780E" w:rsidRPr="00D67C87">
        <w:rPr>
          <w:rFonts w:ascii="Century Gothic" w:hAnsi="Century Gothic" w:cs="Courier New"/>
          <w:color w:val="1F497D" w:themeColor="text2"/>
          <w:sz w:val="20"/>
          <w:szCs w:val="20"/>
        </w:rPr>
        <w:t>innovazione</w:t>
      </w:r>
      <w:r w:rsidRPr="00D67C87">
        <w:rPr>
          <w:rFonts w:ascii="Century Gothic" w:hAnsi="Century Gothic" w:cs="Courier New"/>
          <w:color w:val="1F497D" w:themeColor="text2"/>
          <w:sz w:val="20"/>
          <w:szCs w:val="20"/>
        </w:rPr>
        <w:t xml:space="preserve">, vincoli normativi o procedurali) ritenete opportuno indicare con riferimento ai servizi oggetto della presente </w:t>
      </w:r>
      <w:r w:rsidR="0080797D" w:rsidRPr="00D67C87">
        <w:rPr>
          <w:rFonts w:ascii="Century Gothic" w:hAnsi="Century Gothic" w:cs="Courier New"/>
          <w:color w:val="1F497D" w:themeColor="text2"/>
          <w:sz w:val="20"/>
          <w:szCs w:val="20"/>
        </w:rPr>
        <w:t>consultazione</w:t>
      </w:r>
      <w:r w:rsidRPr="00D67C87">
        <w:rPr>
          <w:rFonts w:ascii="Century Gothic" w:hAnsi="Century Gothic" w:cs="Courier New"/>
          <w:color w:val="1F497D" w:themeColor="text2"/>
          <w:sz w:val="20"/>
          <w:szCs w:val="20"/>
        </w:rPr>
        <w:t>?</w:t>
      </w:r>
    </w:p>
    <w:p w:rsidR="004F3E59" w:rsidRPr="00052599" w:rsidRDefault="004F3E59" w:rsidP="004F3E59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color w:val="1F497D" w:themeColor="text2"/>
          <w:sz w:val="20"/>
          <w:szCs w:val="20"/>
        </w:rPr>
        <w:t xml:space="preserve">Risposta: </w:t>
      </w:r>
    </w:p>
    <w:p w:rsidR="004F3E59" w:rsidRPr="00052599" w:rsidRDefault="004F3E59" w:rsidP="004F3E59">
      <w:pPr>
        <w:spacing w:after="0" w:line="360" w:lineRule="auto"/>
        <w:ind w:left="567" w:right="565"/>
        <w:jc w:val="both"/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</w:pPr>
      <w:r w:rsidRPr="00052599">
        <w:rPr>
          <w:rFonts w:ascii="Century Gothic" w:hAnsi="Century Gothic" w:cs="Courier New"/>
          <w:b/>
          <w:bCs/>
          <w:i/>
          <w:iCs/>
          <w:color w:val="1F497D" w:themeColor="text2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798" w:rsidRPr="00052599" w:rsidRDefault="00A92798" w:rsidP="00E53EB5">
      <w:pPr>
        <w:spacing w:after="0" w:line="360" w:lineRule="auto"/>
        <w:ind w:left="567" w:right="565"/>
        <w:jc w:val="both"/>
        <w:rPr>
          <w:rFonts w:ascii="Century Gothic" w:hAnsi="Century Gothic" w:cs="Courier New"/>
          <w:color w:val="1F497D" w:themeColor="text2"/>
          <w:sz w:val="20"/>
          <w:szCs w:val="20"/>
        </w:rPr>
      </w:pPr>
    </w:p>
    <w:sectPr w:rsidR="00A92798" w:rsidRPr="00052599" w:rsidSect="00F3750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985" w:right="1418" w:bottom="1560" w:left="1134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B3" w:rsidRDefault="006C4AB3" w:rsidP="00881019">
      <w:pPr>
        <w:spacing w:after="0" w:line="240" w:lineRule="auto"/>
      </w:pPr>
      <w:r>
        <w:separator/>
      </w:r>
    </w:p>
  </w:endnote>
  <w:endnote w:type="continuationSeparator" w:id="0">
    <w:p w:rsidR="006C4AB3" w:rsidRDefault="006C4AB3" w:rsidP="0088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064322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color w:val="1F497D" w:themeColor="text2"/>
      </w:rPr>
    </w:sdtEndPr>
    <w:sdtContent>
      <w:p w:rsidR="001C3642" w:rsidRPr="002875AF" w:rsidRDefault="001C3642">
        <w:pPr>
          <w:pStyle w:val="Pidipagina"/>
          <w:jc w:val="right"/>
          <w:rPr>
            <w:rFonts w:ascii="Century Gothic" w:hAnsi="Century Gothic"/>
            <w:b/>
            <w:color w:val="1F497D" w:themeColor="text2"/>
          </w:rPr>
        </w:pPr>
        <w:r w:rsidRPr="002875AF">
          <w:rPr>
            <w:rFonts w:ascii="Century Gothic" w:hAnsi="Century Gothic"/>
            <w:b/>
            <w:noProof/>
            <w:color w:val="1F497D" w:themeColor="text2"/>
            <w:lang w:eastAsia="it-IT"/>
          </w:rPr>
          <mc:AlternateContent>
            <mc:Choice Requires="wps">
              <w:drawing>
                <wp:anchor distT="0" distB="0" distL="114300" distR="114300" simplePos="0" relativeHeight="251655680" behindDoc="0" locked="0" layoutInCell="1" allowOverlap="1" wp14:anchorId="6B1C4598" wp14:editId="36A6CC82">
                  <wp:simplePos x="0" y="0"/>
                  <wp:positionH relativeFrom="column">
                    <wp:posOffset>6167120</wp:posOffset>
                  </wp:positionH>
                  <wp:positionV relativeFrom="paragraph">
                    <wp:posOffset>77470</wp:posOffset>
                  </wp:positionV>
                  <wp:extent cx="666750" cy="0"/>
                  <wp:effectExtent l="38100" t="38100" r="57150" b="95250"/>
                  <wp:wrapNone/>
                  <wp:docPr id="3" name="Connettore 1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675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Connettore 1 3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5.6pt,6.1pt" to="538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" strokecolor="#f79646 [3209]" strokeweight="2pt">
                  <v:shadow on="t" color="black" opacity="24903f" origin=",.5" offset="0,.55556mm"/>
                </v:line>
              </w:pict>
            </mc:Fallback>
          </mc:AlternateContent>
        </w:r>
        <w:r w:rsidRPr="002875AF">
          <w:rPr>
            <w:rFonts w:ascii="Century Gothic" w:hAnsi="Century Gothic"/>
            <w:b/>
            <w:noProof/>
            <w:color w:val="1F497D" w:themeColor="text2"/>
            <w:lang w:eastAsia="it-IT"/>
          </w:rPr>
          <mc:AlternateContent>
            <mc:Choice Requires="wps">
              <w:drawing>
                <wp:anchor distT="0" distB="0" distL="114300" distR="114300" simplePos="0" relativeHeight="251654656" behindDoc="0" locked="0" layoutInCell="1" allowOverlap="1" wp14:anchorId="38006D78" wp14:editId="0374710F">
                  <wp:simplePos x="0" y="0"/>
                  <wp:positionH relativeFrom="column">
                    <wp:posOffset>-719133</wp:posOffset>
                  </wp:positionH>
                  <wp:positionV relativeFrom="paragraph">
                    <wp:posOffset>77470</wp:posOffset>
                  </wp:positionV>
                  <wp:extent cx="6353175" cy="0"/>
                  <wp:effectExtent l="38100" t="38100" r="66675" b="95250"/>
                  <wp:wrapNone/>
                  <wp:docPr id="1" name="Connettore 1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53175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id="Connettore 1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6pt,6.1pt" to="443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" strokecolor="#f79646 [3209]" strokeweight="2pt">
                  <v:shadow on="t" color="black" opacity="24903f" origin=",.5" offset="0,.55556mm"/>
                </v:line>
              </w:pict>
            </mc:Fallback>
          </mc:AlternateContent>
        </w:r>
        <w:r w:rsidRPr="002875AF">
          <w:rPr>
            <w:rFonts w:ascii="Century Gothic" w:hAnsi="Century Gothic"/>
            <w:b/>
            <w:color w:val="1F497D" w:themeColor="text2"/>
          </w:rPr>
          <w:fldChar w:fldCharType="begin"/>
        </w:r>
        <w:r w:rsidRPr="002875AF">
          <w:rPr>
            <w:rFonts w:ascii="Century Gothic" w:hAnsi="Century Gothic"/>
            <w:b/>
            <w:color w:val="1F497D" w:themeColor="text2"/>
          </w:rPr>
          <w:instrText>PAGE   \* MERGEFORMAT</w:instrText>
        </w:r>
        <w:r w:rsidRPr="002875AF">
          <w:rPr>
            <w:rFonts w:ascii="Century Gothic" w:hAnsi="Century Gothic"/>
            <w:b/>
            <w:color w:val="1F497D" w:themeColor="text2"/>
          </w:rPr>
          <w:fldChar w:fldCharType="separate"/>
        </w:r>
        <w:r w:rsidR="00541B2D">
          <w:rPr>
            <w:rFonts w:ascii="Century Gothic" w:hAnsi="Century Gothic"/>
            <w:b/>
            <w:noProof/>
            <w:color w:val="1F497D" w:themeColor="text2"/>
          </w:rPr>
          <w:t>14</w:t>
        </w:r>
        <w:r w:rsidRPr="002875AF">
          <w:rPr>
            <w:rFonts w:ascii="Century Gothic" w:hAnsi="Century Gothic"/>
            <w:b/>
            <w:color w:val="1F497D" w:themeColor="text2"/>
          </w:rPr>
          <w:fldChar w:fldCharType="end"/>
        </w:r>
      </w:p>
    </w:sdtContent>
  </w:sdt>
  <w:p w:rsidR="001C3642" w:rsidRDefault="001C36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42" w:rsidRDefault="001C3642">
    <w:pPr>
      <w:pStyle w:val="Pidipagina"/>
      <w:jc w:val="right"/>
    </w:pPr>
  </w:p>
  <w:p w:rsidR="001C3642" w:rsidRDefault="001C3642">
    <w:pPr>
      <w:pStyle w:val="Pidipagina"/>
      <w:jc w:val="right"/>
    </w:pPr>
  </w:p>
  <w:p w:rsidR="001C3642" w:rsidRPr="00676703" w:rsidRDefault="001C3642">
    <w:pPr>
      <w:pStyle w:val="Pidipagina"/>
      <w:jc w:val="right"/>
      <w:rPr>
        <w:rFonts w:ascii="Century Gothic" w:hAnsi="Century Gothic"/>
        <w:color w:val="1F497D" w:themeColor="text2"/>
      </w:rPr>
    </w:pPr>
    <w:r w:rsidRPr="00676703">
      <w:rPr>
        <w:rFonts w:ascii="Century Gothic" w:hAnsi="Century Gothic" w:cs="Courier New"/>
        <w:noProof/>
        <w:color w:val="1F497D" w:themeColor="text2"/>
        <w:sz w:val="24"/>
        <w:lang w:eastAsia="it-IT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12C170F" wp14:editId="437D8346">
              <wp:simplePos x="0" y="0"/>
              <wp:positionH relativeFrom="column">
                <wp:posOffset>-706755</wp:posOffset>
              </wp:positionH>
              <wp:positionV relativeFrom="paragraph">
                <wp:posOffset>86360</wp:posOffset>
              </wp:positionV>
              <wp:extent cx="7553325" cy="695325"/>
              <wp:effectExtent l="0" t="0" r="0" b="0"/>
              <wp:wrapNone/>
              <wp:docPr id="1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3642" w:rsidRPr="000536DC" w:rsidRDefault="001C3642" w:rsidP="00676703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b/>
                              <w:color w:val="1F497D"/>
                              <w:sz w:val="16"/>
                              <w:szCs w:val="14"/>
                            </w:rPr>
                          </w:pPr>
                          <w:r w:rsidRPr="000536DC">
                            <w:rPr>
                              <w:rFonts w:ascii="Century Gothic" w:hAnsi="Century Gothic" w:cs="Arial"/>
                              <w:b/>
                              <w:color w:val="1F497D"/>
                              <w:sz w:val="16"/>
                              <w:szCs w:val="14"/>
                            </w:rPr>
                            <w:t xml:space="preserve">Agenzia delle </w:t>
                          </w:r>
                          <w:r>
                            <w:rPr>
                              <w:rFonts w:ascii="Century Gothic" w:hAnsi="Century Gothic" w:cs="Arial"/>
                              <w:b/>
                              <w:color w:val="1F497D"/>
                              <w:sz w:val="16"/>
                              <w:szCs w:val="14"/>
                            </w:rPr>
                            <w:t>entrate-</w:t>
                          </w:r>
                          <w:r w:rsidRPr="000536DC">
                            <w:rPr>
                              <w:rFonts w:ascii="Century Gothic" w:hAnsi="Century Gothic" w:cs="Arial"/>
                              <w:b/>
                              <w:color w:val="1F497D"/>
                              <w:sz w:val="16"/>
                              <w:szCs w:val="14"/>
                            </w:rPr>
                            <w:t>Riscossione</w:t>
                          </w:r>
                        </w:p>
                        <w:p w:rsidR="001C3642" w:rsidRDefault="001C3642" w:rsidP="00676703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</w:pP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Agente della riscossione per tutti gli ambiti provinciali nazionali a</w:t>
                          </w:r>
                          <w:r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d</w:t>
                          </w: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 esclusione del territorio della Regione Siciliana </w:t>
                          </w:r>
                        </w:p>
                        <w:p w:rsidR="001C3642" w:rsidRPr="002B2EDF" w:rsidRDefault="001C3642" w:rsidP="00676703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/>
                            <w:jc w:val="center"/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</w:pP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Sede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  <w:lang w:val="x-none"/>
                            </w:rPr>
                            <w:t xml:space="preserve"> legale Via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 Giuseppe Grezar, 14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  <w:lang w:val="x-none"/>
                            </w:rPr>
                            <w:t xml:space="preserve">   –  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00142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  <w:lang w:val="x-none"/>
                            </w:rPr>
                            <w:t xml:space="preserve"> </w:t>
                          </w: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Roma</w:t>
                          </w:r>
                        </w:p>
                        <w:p w:rsidR="001C3642" w:rsidRPr="00676703" w:rsidRDefault="001C3642" w:rsidP="00676703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24"/>
                              <w:lang w:val="x-none"/>
                            </w:rPr>
                          </w:pPr>
                          <w:r w:rsidRPr="002B2EDF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Iscritta al registro delle imprese di Roma</w:t>
                          </w:r>
                          <w:r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, C. F. e </w:t>
                          </w: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P. </w:t>
                          </w:r>
                          <w:r w:rsidRPr="00F139DB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IV</w:t>
                          </w:r>
                          <w:r w:rsidRPr="00676703"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>A 13756881002</w:t>
                          </w:r>
                          <w:r>
                            <w:rPr>
                              <w:rFonts w:ascii="Century Gothic" w:hAnsi="Century Gothic" w:cs="Arial"/>
                              <w:color w:val="1F497D"/>
                              <w:sz w:val="16"/>
                              <w:szCs w:val="14"/>
                            </w:rPr>
                            <w:t xml:space="preserve"> </w:t>
                          </w:r>
                        </w:p>
                        <w:p w:rsidR="001C3642" w:rsidRDefault="001C364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55.65pt;margin-top:6.8pt;width:594.75pt;height:5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" filled="f" stroked="f">
              <v:textbox>
                <w:txbxContent>
                  <w:p w:rsidR="001C3642" w:rsidRPr="000536DC" w:rsidRDefault="001C3642" w:rsidP="00676703">
                    <w:pPr>
                      <w:tabs>
                        <w:tab w:val="center" w:pos="4819"/>
                        <w:tab w:val="right" w:pos="9638"/>
                      </w:tabs>
                      <w:spacing w:after="0"/>
                      <w:jc w:val="center"/>
                      <w:rPr>
                        <w:rFonts w:ascii="Century Gothic" w:hAnsi="Century Gothic" w:cs="Arial"/>
                        <w:b/>
                        <w:color w:val="1F497D"/>
                        <w:sz w:val="16"/>
                        <w:szCs w:val="14"/>
                      </w:rPr>
                    </w:pPr>
                    <w:r w:rsidRPr="000536DC">
                      <w:rPr>
                        <w:rFonts w:ascii="Century Gothic" w:hAnsi="Century Gothic" w:cs="Arial"/>
                        <w:b/>
                        <w:color w:val="1F497D"/>
                        <w:sz w:val="16"/>
                        <w:szCs w:val="14"/>
                      </w:rPr>
                      <w:t xml:space="preserve">Agenzia delle </w:t>
                    </w:r>
                    <w:r>
                      <w:rPr>
                        <w:rFonts w:ascii="Century Gothic" w:hAnsi="Century Gothic" w:cs="Arial"/>
                        <w:b/>
                        <w:color w:val="1F497D"/>
                        <w:sz w:val="16"/>
                        <w:szCs w:val="14"/>
                      </w:rPr>
                      <w:t>entrate-</w:t>
                    </w:r>
                    <w:r w:rsidRPr="000536DC">
                      <w:rPr>
                        <w:rFonts w:ascii="Century Gothic" w:hAnsi="Century Gothic" w:cs="Arial"/>
                        <w:b/>
                        <w:color w:val="1F497D"/>
                        <w:sz w:val="16"/>
                        <w:szCs w:val="14"/>
                      </w:rPr>
                      <w:t>Riscossione</w:t>
                    </w:r>
                  </w:p>
                  <w:p w:rsidR="001C3642" w:rsidRDefault="001C3642" w:rsidP="00676703">
                    <w:pPr>
                      <w:tabs>
                        <w:tab w:val="center" w:pos="4819"/>
                        <w:tab w:val="right" w:pos="9638"/>
                      </w:tabs>
                      <w:spacing w:after="0"/>
                      <w:jc w:val="center"/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</w:pP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Agente della riscossione per tutti gli ambiti provinciali nazionali a</w:t>
                    </w:r>
                    <w:r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d</w:t>
                    </w: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 esclusione del territorio della Regione Siciliana </w:t>
                    </w:r>
                  </w:p>
                  <w:p w:rsidR="001C3642" w:rsidRPr="002B2EDF" w:rsidRDefault="001C3642" w:rsidP="00676703">
                    <w:pPr>
                      <w:tabs>
                        <w:tab w:val="center" w:pos="4819"/>
                        <w:tab w:val="right" w:pos="9638"/>
                      </w:tabs>
                      <w:spacing w:after="0"/>
                      <w:jc w:val="center"/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</w:pP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 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Sede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  <w:lang w:val="x-none"/>
                      </w:rPr>
                      <w:t xml:space="preserve"> legale Via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 Giuseppe Grezar, 14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  <w:lang w:val="x-none"/>
                      </w:rPr>
                      <w:t xml:space="preserve">   –  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00142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  <w:lang w:val="x-none"/>
                      </w:rPr>
                      <w:t xml:space="preserve"> </w:t>
                    </w: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Roma</w:t>
                    </w:r>
                  </w:p>
                  <w:p w:rsidR="001C3642" w:rsidRPr="00676703" w:rsidRDefault="001C3642" w:rsidP="00676703">
                    <w:pPr>
                      <w:tabs>
                        <w:tab w:val="center" w:pos="4819"/>
                        <w:tab w:val="right" w:pos="9638"/>
                      </w:tabs>
                      <w:spacing w:after="0"/>
                      <w:jc w:val="center"/>
                      <w:rPr>
                        <w:rFonts w:ascii="Century Gothic" w:hAnsi="Century Gothic"/>
                        <w:color w:val="1F497D" w:themeColor="text2"/>
                        <w:sz w:val="24"/>
                        <w:lang w:val="x-none"/>
                      </w:rPr>
                    </w:pPr>
                    <w:r w:rsidRPr="002B2EDF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Iscritta al registro delle imprese di Roma</w:t>
                    </w:r>
                    <w:r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, C. F. e </w:t>
                    </w: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P. </w:t>
                    </w:r>
                    <w:r w:rsidRPr="00F139DB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IV</w:t>
                    </w:r>
                    <w:r w:rsidRPr="00676703"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>A 13756881002</w:t>
                    </w:r>
                    <w:r>
                      <w:rPr>
                        <w:rFonts w:ascii="Century Gothic" w:hAnsi="Century Gothic" w:cs="Arial"/>
                        <w:color w:val="1F497D"/>
                        <w:sz w:val="16"/>
                        <w:szCs w:val="14"/>
                      </w:rPr>
                      <w:t xml:space="preserve"> </w:t>
                    </w:r>
                  </w:p>
                  <w:p w:rsidR="001C3642" w:rsidRDefault="001C3642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121F2C4" wp14:editId="4E6B16FA">
              <wp:simplePos x="0" y="0"/>
              <wp:positionH relativeFrom="column">
                <wp:posOffset>-720090</wp:posOffset>
              </wp:positionH>
              <wp:positionV relativeFrom="paragraph">
                <wp:posOffset>80010</wp:posOffset>
              </wp:positionV>
              <wp:extent cx="7566660" cy="0"/>
              <wp:effectExtent l="38100" t="38100" r="53340" b="95250"/>
              <wp:wrapNone/>
              <wp:docPr id="7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ttore 1 7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7pt,6.3pt" to="539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" strokecolor="#f79646 [3209]" strokeweight="2pt">
              <v:shadow on="t" color="black" opacity="24903f" origin=",.5" offset="0,.55556mm"/>
            </v:line>
          </w:pict>
        </mc:Fallback>
      </mc:AlternateContent>
    </w:r>
  </w:p>
  <w:p w:rsidR="001C3642" w:rsidRDefault="001C3642" w:rsidP="00676703">
    <w:pPr>
      <w:pStyle w:val="Pidipagina"/>
      <w:tabs>
        <w:tab w:val="left" w:pos="921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B3" w:rsidRDefault="006C4AB3" w:rsidP="00881019">
      <w:pPr>
        <w:spacing w:after="0" w:line="240" w:lineRule="auto"/>
      </w:pPr>
      <w:r>
        <w:separator/>
      </w:r>
    </w:p>
  </w:footnote>
  <w:footnote w:type="continuationSeparator" w:id="0">
    <w:p w:rsidR="006C4AB3" w:rsidRDefault="006C4AB3" w:rsidP="00881019">
      <w:pPr>
        <w:spacing w:after="0" w:line="240" w:lineRule="auto"/>
      </w:pPr>
      <w:r>
        <w:continuationSeparator/>
      </w:r>
    </w:p>
  </w:footnote>
  <w:footnote w:id="1">
    <w:p w:rsidR="001C3642" w:rsidRPr="00CB77D5" w:rsidRDefault="001C3642" w:rsidP="00CB77D5">
      <w:pPr>
        <w:spacing w:after="0" w:line="240" w:lineRule="auto"/>
        <w:ind w:left="567" w:right="567"/>
        <w:jc w:val="both"/>
        <w:rPr>
          <w:rFonts w:ascii="Century Gothic" w:hAnsi="Century Gothic" w:cs="Courier New"/>
          <w:b/>
          <w:bCs/>
          <w:i/>
          <w:color w:val="1F497D" w:themeColor="text2"/>
          <w:sz w:val="16"/>
        </w:rPr>
      </w:pPr>
      <w:r>
        <w:rPr>
          <w:rStyle w:val="Rimandonotaapidipagina"/>
        </w:rPr>
        <w:footnoteRef/>
      </w:r>
      <w:r w:rsidRPr="00CB77D5">
        <w:rPr>
          <w:sz w:val="14"/>
        </w:rPr>
        <w:t xml:space="preserve"> </w:t>
      </w:r>
      <w:r w:rsidRPr="00CB77D5">
        <w:rPr>
          <w:rFonts w:ascii="Century Gothic" w:hAnsi="Century Gothic" w:cs="Courier New"/>
          <w:b/>
          <w:bCs/>
          <w:i/>
          <w:color w:val="1F497D" w:themeColor="text2"/>
          <w:sz w:val="16"/>
        </w:rPr>
        <w:t>Art. 7 del D. Lgs. 30 giugno 2003, n. 196 (Diritto di accesso ai dati personali ed altri diritti)</w:t>
      </w:r>
    </w:p>
    <w:p w:rsidR="001C3642" w:rsidRPr="00DF0F2C" w:rsidRDefault="001C3642" w:rsidP="00DF0F2C">
      <w:pPr>
        <w:pStyle w:val="Paragrafoelenco"/>
        <w:numPr>
          <w:ilvl w:val="0"/>
          <w:numId w:val="13"/>
        </w:numPr>
        <w:spacing w:after="0" w:line="240" w:lineRule="auto"/>
        <w:ind w:left="567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L'interessato ha diritto di ottenere la conferma dell'esistenza o meno di dati personali che lo riguardano, anche se non ancora registrati, e la loro comunicazione in forma intelligibile.</w:t>
      </w:r>
    </w:p>
    <w:p w:rsidR="001C3642" w:rsidRPr="00CB77D5" w:rsidRDefault="001C3642" w:rsidP="00CB77D5">
      <w:pPr>
        <w:pStyle w:val="Paragrafoelenco"/>
        <w:numPr>
          <w:ilvl w:val="0"/>
          <w:numId w:val="13"/>
        </w:numPr>
        <w:spacing w:after="0" w:line="240" w:lineRule="auto"/>
        <w:ind w:left="567" w:right="567" w:hanging="283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L'interessato ha diritto di ottenere l'indicazione:</w:t>
      </w:r>
    </w:p>
    <w:p w:rsidR="001C3642" w:rsidRPr="00CB77D5" w:rsidRDefault="001C3642" w:rsidP="009347AE">
      <w:pPr>
        <w:pStyle w:val="Paragrafoelenco"/>
        <w:numPr>
          <w:ilvl w:val="0"/>
          <w:numId w:val="19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dell'origine dei dati personali;</w:t>
      </w:r>
    </w:p>
    <w:p w:rsidR="001C3642" w:rsidRPr="00CB77D5" w:rsidRDefault="001C3642" w:rsidP="009347AE">
      <w:pPr>
        <w:pStyle w:val="Paragrafoelenco"/>
        <w:numPr>
          <w:ilvl w:val="0"/>
          <w:numId w:val="19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delle finalità e modalità del trattamento;</w:t>
      </w:r>
    </w:p>
    <w:p w:rsidR="001C3642" w:rsidRPr="00CB77D5" w:rsidRDefault="001C3642" w:rsidP="009347AE">
      <w:pPr>
        <w:pStyle w:val="Paragrafoelenco"/>
        <w:numPr>
          <w:ilvl w:val="0"/>
          <w:numId w:val="19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della logica applicata in caso di trattamento effettuato con l'ausilio di strumenti elettronici;</w:t>
      </w:r>
    </w:p>
    <w:p w:rsidR="001C3642" w:rsidRPr="00CB77D5" w:rsidRDefault="001C3642" w:rsidP="009347AE">
      <w:pPr>
        <w:pStyle w:val="Paragrafoelenco"/>
        <w:numPr>
          <w:ilvl w:val="0"/>
          <w:numId w:val="19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degli estremi identificativi del titolare, dei responsabili e del rappresentante designato ai sensi dell'articolo 5, comma 2;</w:t>
      </w:r>
    </w:p>
    <w:p w:rsidR="001C3642" w:rsidRPr="00CB77D5" w:rsidRDefault="001C3642" w:rsidP="009347AE">
      <w:pPr>
        <w:pStyle w:val="Paragrafoelenco"/>
        <w:numPr>
          <w:ilvl w:val="0"/>
          <w:numId w:val="19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1C3642" w:rsidRPr="00CB77D5" w:rsidRDefault="001C3642" w:rsidP="00CB77D5">
      <w:pPr>
        <w:pStyle w:val="Paragrafoelenco"/>
        <w:numPr>
          <w:ilvl w:val="0"/>
          <w:numId w:val="13"/>
        </w:numPr>
        <w:spacing w:after="0" w:line="240" w:lineRule="auto"/>
        <w:ind w:left="567" w:right="567" w:hanging="283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L'interessato ha diritto di ottenere:</w:t>
      </w:r>
    </w:p>
    <w:p w:rsidR="001C3642" w:rsidRPr="00CB77D5" w:rsidRDefault="001C3642" w:rsidP="009347AE">
      <w:pPr>
        <w:pStyle w:val="Paragrafoelenco"/>
        <w:numPr>
          <w:ilvl w:val="0"/>
          <w:numId w:val="20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l'aggiornamento, la rettificazione ovvero, quando vi ha interesse, l'integrazione dei dati;</w:t>
      </w:r>
    </w:p>
    <w:p w:rsidR="001C3642" w:rsidRPr="00CB77D5" w:rsidRDefault="001C3642" w:rsidP="009347AE">
      <w:pPr>
        <w:pStyle w:val="Paragrafoelenco"/>
        <w:numPr>
          <w:ilvl w:val="0"/>
          <w:numId w:val="20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1C3642" w:rsidRPr="00DF0F2C" w:rsidRDefault="001C3642" w:rsidP="009347AE">
      <w:pPr>
        <w:pStyle w:val="Paragrafoelenco"/>
        <w:numPr>
          <w:ilvl w:val="0"/>
          <w:numId w:val="20"/>
        </w:numPr>
        <w:spacing w:after="0" w:line="240" w:lineRule="auto"/>
        <w:ind w:left="851" w:right="567" w:hanging="284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l'attestazione che le operazioni di cui alle lettere a) e b) sono state portate a conoscenza, anche per quanto riguarda il loro contenuto, di coloro ai quali i dati sono stati comunicati o diffusi, eccettuato il caso in cui tale adempimento si</w:t>
      </w:r>
      <w:r w:rsidRPr="00CB77D5">
        <w:rPr>
          <w:rFonts w:ascii="Century Gothic" w:hAnsi="Century Gothic" w:cs="Courier New"/>
          <w:b/>
          <w:bCs/>
          <w:color w:val="4F81BD" w:themeColor="accent1"/>
          <w:sz w:val="16"/>
        </w:rPr>
        <w:t xml:space="preserve"> </w:t>
      </w:r>
      <w:r w:rsidRPr="00CB77D5">
        <w:rPr>
          <w:rFonts w:ascii="Century Gothic" w:hAnsi="Century Gothic" w:cs="Courier New"/>
          <w:color w:val="1F497D" w:themeColor="text2"/>
          <w:sz w:val="16"/>
        </w:rPr>
        <w:t>rivela impossibile o comporta un impiego di mezzi manifestamente sproporzionato rispetto al diritto tutelato.</w:t>
      </w:r>
    </w:p>
    <w:p w:rsidR="001C3642" w:rsidRPr="00CB77D5" w:rsidRDefault="001C3642" w:rsidP="00CB77D5">
      <w:pPr>
        <w:pStyle w:val="Paragrafoelenco"/>
        <w:numPr>
          <w:ilvl w:val="0"/>
          <w:numId w:val="13"/>
        </w:numPr>
        <w:spacing w:after="0" w:line="240" w:lineRule="auto"/>
        <w:ind w:left="567" w:right="567" w:hanging="283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L'interessato ha diritto di opporsi, in tutto o in parte:</w:t>
      </w:r>
    </w:p>
    <w:p w:rsidR="001C3642" w:rsidRPr="00CB77D5" w:rsidRDefault="001C3642" w:rsidP="009347AE">
      <w:pPr>
        <w:pStyle w:val="Paragrafoelenco"/>
        <w:numPr>
          <w:ilvl w:val="0"/>
          <w:numId w:val="21"/>
        </w:numPr>
        <w:spacing w:after="0" w:line="240" w:lineRule="auto"/>
        <w:ind w:left="851" w:right="567" w:hanging="283"/>
        <w:jc w:val="both"/>
        <w:rPr>
          <w:rFonts w:ascii="Century Gothic" w:hAnsi="Century Gothic" w:cs="Courier New"/>
          <w:bCs/>
          <w:color w:val="4F81BD" w:themeColor="accent1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per motivi legittimi al trattamento dei dati personali che lo riguardano, ancorché pertinenti allo scopo della raccolta;</w:t>
      </w:r>
    </w:p>
    <w:p w:rsidR="001C3642" w:rsidRPr="00825840" w:rsidRDefault="001C3642" w:rsidP="00825840">
      <w:pPr>
        <w:pStyle w:val="Paragrafoelenco"/>
        <w:numPr>
          <w:ilvl w:val="0"/>
          <w:numId w:val="21"/>
        </w:numPr>
        <w:spacing w:after="0" w:line="240" w:lineRule="auto"/>
        <w:ind w:left="851" w:right="567" w:hanging="283"/>
        <w:jc w:val="both"/>
        <w:rPr>
          <w:rFonts w:ascii="Century Gothic" w:hAnsi="Century Gothic" w:cs="Courier New"/>
          <w:color w:val="1F497D" w:themeColor="text2"/>
          <w:sz w:val="16"/>
        </w:rPr>
      </w:pPr>
      <w:r w:rsidRPr="00CB77D5">
        <w:rPr>
          <w:rFonts w:ascii="Century Gothic" w:hAnsi="Century Gothic" w:cs="Courier New"/>
          <w:color w:val="1F497D" w:themeColor="text2"/>
          <w:sz w:val="16"/>
        </w:rPr>
        <w:t>al trattamento di dati personali che lo riguardano a fini di invio di materiale pubblicitario o di vendita diretta o per il compimento di ricerche di mercato o di comunicazione commerciale.</w:t>
      </w:r>
      <w:r w:rsidRPr="00825840">
        <w:rPr>
          <w:rFonts w:ascii="Century Gothic" w:hAnsi="Century Gothic" w:cs="Courier New"/>
          <w:color w:val="1F497D" w:themeColor="text2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42" w:rsidRPr="00181E99" w:rsidRDefault="001C3642" w:rsidP="00BB1448">
    <w:pPr>
      <w:pStyle w:val="Intestazione"/>
      <w:tabs>
        <w:tab w:val="clear" w:pos="4819"/>
        <w:tab w:val="clear" w:pos="9638"/>
      </w:tabs>
    </w:pPr>
    <w:r w:rsidRPr="005C2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0BAF68" wp14:editId="1554CD20">
              <wp:simplePos x="0" y="0"/>
              <wp:positionH relativeFrom="column">
                <wp:posOffset>2011045</wp:posOffset>
              </wp:positionH>
              <wp:positionV relativeFrom="paragraph">
                <wp:posOffset>495935</wp:posOffset>
              </wp:positionV>
              <wp:extent cx="4829175" cy="0"/>
              <wp:effectExtent l="38100" t="38100" r="66675" b="95250"/>
              <wp:wrapNone/>
              <wp:docPr id="16" name="Connettore 1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291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ttore 1 16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35pt,39.05pt" to="538.6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5C2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14DFBC6" wp14:editId="57C0BFC8">
              <wp:simplePos x="0" y="0"/>
              <wp:positionH relativeFrom="column">
                <wp:posOffset>-721360</wp:posOffset>
              </wp:positionH>
              <wp:positionV relativeFrom="paragraph">
                <wp:posOffset>492125</wp:posOffset>
              </wp:positionV>
              <wp:extent cx="600075" cy="0"/>
              <wp:effectExtent l="38100" t="38100" r="66675" b="95250"/>
              <wp:wrapNone/>
              <wp:docPr id="17" name="Connettore 1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ttore 1 17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8pt,38.75pt" to="-9.5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5C297D">
      <w:rPr>
        <w:noProof/>
        <w:lang w:eastAsia="it-IT"/>
      </w:rPr>
      <w:drawing>
        <wp:anchor distT="0" distB="0" distL="114300" distR="114300" simplePos="0" relativeHeight="251661824" behindDoc="1" locked="0" layoutInCell="1" allowOverlap="1" wp14:anchorId="188A4861" wp14:editId="0C077A39">
          <wp:simplePos x="0" y="0"/>
          <wp:positionH relativeFrom="column">
            <wp:posOffset>73025</wp:posOffset>
          </wp:positionH>
          <wp:positionV relativeFrom="paragraph">
            <wp:posOffset>-51614</wp:posOffset>
          </wp:positionV>
          <wp:extent cx="1778000" cy="647700"/>
          <wp:effectExtent l="0" t="0" r="0" b="0"/>
          <wp:wrapNone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ta intestat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642" w:rsidRDefault="001C3642">
    <w:pPr>
      <w:pStyle w:val="Intestazione"/>
    </w:pPr>
    <w:r w:rsidRPr="005C2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1430EA" wp14:editId="7EA52F03">
              <wp:simplePos x="0" y="0"/>
              <wp:positionH relativeFrom="column">
                <wp:posOffset>2012315</wp:posOffset>
              </wp:positionH>
              <wp:positionV relativeFrom="paragraph">
                <wp:posOffset>506095</wp:posOffset>
              </wp:positionV>
              <wp:extent cx="4829175" cy="0"/>
              <wp:effectExtent l="38100" t="38100" r="66675" b="952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291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ttore 1 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45pt,39.85pt" to="538.7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5C297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09742A" wp14:editId="5FBA27D4">
              <wp:simplePos x="0" y="0"/>
              <wp:positionH relativeFrom="column">
                <wp:posOffset>-720090</wp:posOffset>
              </wp:positionH>
              <wp:positionV relativeFrom="paragraph">
                <wp:posOffset>502285</wp:posOffset>
              </wp:positionV>
              <wp:extent cx="600075" cy="0"/>
              <wp:effectExtent l="38100" t="38100" r="66675" b="95250"/>
              <wp:wrapNone/>
              <wp:docPr id="14" name="Connettore 1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ttore 1 14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7pt,39.55pt" to="-9.4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" strokecolor="#f79646 [3209]" strokeweight="2pt">
              <v:shadow on="t" color="black" opacity="24903f" origin=",.5" offset="0,.55556mm"/>
            </v:line>
          </w:pict>
        </mc:Fallback>
      </mc:AlternateContent>
    </w:r>
    <w:r w:rsidRPr="005C297D">
      <w:rPr>
        <w:noProof/>
        <w:lang w:eastAsia="it-IT"/>
      </w:rPr>
      <w:drawing>
        <wp:anchor distT="0" distB="0" distL="114300" distR="114300" simplePos="0" relativeHeight="251658752" behindDoc="1" locked="0" layoutInCell="1" allowOverlap="1" wp14:anchorId="0396CF2E" wp14:editId="4B96BF0C">
          <wp:simplePos x="0" y="0"/>
          <wp:positionH relativeFrom="column">
            <wp:posOffset>74295</wp:posOffset>
          </wp:positionH>
          <wp:positionV relativeFrom="paragraph">
            <wp:posOffset>-45085</wp:posOffset>
          </wp:positionV>
          <wp:extent cx="1778000" cy="647700"/>
          <wp:effectExtent l="0" t="0" r="0" b="0"/>
          <wp:wrapNone/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rta intestat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5B2"/>
      </v:shape>
    </w:pict>
  </w:numPicBullet>
  <w:abstractNum w:abstractNumId="0">
    <w:nsid w:val="01CE57FC"/>
    <w:multiLevelType w:val="hybridMultilevel"/>
    <w:tmpl w:val="591888C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F21C1B"/>
    <w:multiLevelType w:val="hybridMultilevel"/>
    <w:tmpl w:val="C902C9E2"/>
    <w:lvl w:ilvl="0" w:tplc="04100015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357B57"/>
    <w:multiLevelType w:val="hybridMultilevel"/>
    <w:tmpl w:val="F330187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1E09E7"/>
    <w:multiLevelType w:val="hybridMultilevel"/>
    <w:tmpl w:val="1262B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14804"/>
    <w:multiLevelType w:val="hybridMultilevel"/>
    <w:tmpl w:val="09A09490"/>
    <w:lvl w:ilvl="0" w:tplc="04100017">
      <w:start w:val="1"/>
      <w:numFmt w:val="lowerLetter"/>
      <w:lvlText w:val="%1)"/>
      <w:lvlJc w:val="left"/>
      <w:pPr>
        <w:ind w:left="1978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36547C0"/>
    <w:multiLevelType w:val="hybridMultilevel"/>
    <w:tmpl w:val="ACF0FB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6F0B4D"/>
    <w:multiLevelType w:val="hybridMultilevel"/>
    <w:tmpl w:val="29FCEF86"/>
    <w:lvl w:ilvl="0" w:tplc="ABD0F23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A22CEC"/>
    <w:multiLevelType w:val="hybridMultilevel"/>
    <w:tmpl w:val="082CC10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6D810C9"/>
    <w:multiLevelType w:val="hybridMultilevel"/>
    <w:tmpl w:val="5B065D92"/>
    <w:lvl w:ilvl="0" w:tplc="0410000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</w:abstractNum>
  <w:abstractNum w:abstractNumId="9">
    <w:nsid w:val="179B4B6B"/>
    <w:multiLevelType w:val="hybridMultilevel"/>
    <w:tmpl w:val="1F66F26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0004CCD"/>
    <w:multiLevelType w:val="hybridMultilevel"/>
    <w:tmpl w:val="23AA8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3435E"/>
    <w:multiLevelType w:val="hybridMultilevel"/>
    <w:tmpl w:val="4F305294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22E13D39"/>
    <w:multiLevelType w:val="hybridMultilevel"/>
    <w:tmpl w:val="3B5EE06C"/>
    <w:lvl w:ilvl="0" w:tplc="21064E24">
      <w:numFmt w:val="bullet"/>
      <w:lvlText w:val="-"/>
      <w:lvlJc w:val="left"/>
      <w:pPr>
        <w:ind w:left="927" w:hanging="360"/>
      </w:pPr>
      <w:rPr>
        <w:rFonts w:ascii="Century Gothic" w:eastAsiaTheme="minorHAnsi" w:hAnsi="Century Gothic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B094030"/>
    <w:multiLevelType w:val="hybridMultilevel"/>
    <w:tmpl w:val="5B8ED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30023"/>
    <w:multiLevelType w:val="hybridMultilevel"/>
    <w:tmpl w:val="E864C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A1AFA"/>
    <w:multiLevelType w:val="hybridMultilevel"/>
    <w:tmpl w:val="2CAC3A0A"/>
    <w:lvl w:ilvl="0" w:tplc="04100011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A44DFC"/>
    <w:multiLevelType w:val="hybridMultilevel"/>
    <w:tmpl w:val="588ECC78"/>
    <w:lvl w:ilvl="0" w:tplc="D4B83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>
    <w:nsid w:val="3AA04A09"/>
    <w:multiLevelType w:val="hybridMultilevel"/>
    <w:tmpl w:val="1CC2C02E"/>
    <w:lvl w:ilvl="0" w:tplc="3176D97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871C8"/>
    <w:multiLevelType w:val="hybridMultilevel"/>
    <w:tmpl w:val="3176EB44"/>
    <w:lvl w:ilvl="0" w:tplc="39F60F7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u w:val="singl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C85057"/>
    <w:multiLevelType w:val="hybridMultilevel"/>
    <w:tmpl w:val="BC2C8B7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B11BC6"/>
    <w:multiLevelType w:val="hybridMultilevel"/>
    <w:tmpl w:val="83A6EC7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A6D7B18"/>
    <w:multiLevelType w:val="hybridMultilevel"/>
    <w:tmpl w:val="4240124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C2C7FDF"/>
    <w:multiLevelType w:val="hybridMultilevel"/>
    <w:tmpl w:val="DB7CD724"/>
    <w:lvl w:ilvl="0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1143369"/>
    <w:multiLevelType w:val="hybridMultilevel"/>
    <w:tmpl w:val="2188BEE4"/>
    <w:lvl w:ilvl="0" w:tplc="04100017">
      <w:start w:val="1"/>
      <w:numFmt w:val="lowerLetter"/>
      <w:lvlText w:val="%1)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2F0BD7"/>
    <w:multiLevelType w:val="hybridMultilevel"/>
    <w:tmpl w:val="CD166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163729"/>
    <w:multiLevelType w:val="hybridMultilevel"/>
    <w:tmpl w:val="D0AC015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C171966"/>
    <w:multiLevelType w:val="hybridMultilevel"/>
    <w:tmpl w:val="C78A9F40"/>
    <w:lvl w:ilvl="0" w:tplc="0410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7">
    <w:nsid w:val="5D0723DE"/>
    <w:multiLevelType w:val="hybridMultilevel"/>
    <w:tmpl w:val="76122B6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FF86CD7"/>
    <w:multiLevelType w:val="hybridMultilevel"/>
    <w:tmpl w:val="8FF0722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1E5AB1"/>
    <w:multiLevelType w:val="hybridMultilevel"/>
    <w:tmpl w:val="F81CDF0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4AF4A46"/>
    <w:multiLevelType w:val="hybridMultilevel"/>
    <w:tmpl w:val="4F1A1A38"/>
    <w:lvl w:ilvl="0" w:tplc="F5E61C66">
      <w:start w:val="1"/>
      <w:numFmt w:val="lowerLetter"/>
      <w:lvlText w:val="%1)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6046D80"/>
    <w:multiLevelType w:val="hybridMultilevel"/>
    <w:tmpl w:val="0BEC9B98"/>
    <w:lvl w:ilvl="0" w:tplc="0410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2">
    <w:nsid w:val="684C0445"/>
    <w:multiLevelType w:val="hybridMultilevel"/>
    <w:tmpl w:val="D85A863E"/>
    <w:lvl w:ilvl="0" w:tplc="D2045D18">
      <w:start w:val="1"/>
      <w:numFmt w:val="lowerLetter"/>
      <w:lvlText w:val="%1)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8944AB4"/>
    <w:multiLevelType w:val="hybridMultilevel"/>
    <w:tmpl w:val="412CA4F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A2C7551"/>
    <w:multiLevelType w:val="hybridMultilevel"/>
    <w:tmpl w:val="CFCC5686"/>
    <w:lvl w:ilvl="0" w:tplc="04100017">
      <w:start w:val="1"/>
      <w:numFmt w:val="lowerLetter"/>
      <w:lvlText w:val="%1)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C8A39A3"/>
    <w:multiLevelType w:val="hybridMultilevel"/>
    <w:tmpl w:val="BF7219BE"/>
    <w:lvl w:ilvl="0" w:tplc="0410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746E7529"/>
    <w:multiLevelType w:val="hybridMultilevel"/>
    <w:tmpl w:val="08225736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7">
    <w:nsid w:val="75AC2033"/>
    <w:multiLevelType w:val="hybridMultilevel"/>
    <w:tmpl w:val="7318FB7C"/>
    <w:lvl w:ilvl="0" w:tplc="25685536">
      <w:start w:val="1"/>
      <w:numFmt w:val="lowerLetter"/>
      <w:lvlText w:val="%1)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CE101A"/>
    <w:multiLevelType w:val="hybridMultilevel"/>
    <w:tmpl w:val="C29EA736"/>
    <w:lvl w:ilvl="0" w:tplc="04100017">
      <w:start w:val="1"/>
      <w:numFmt w:val="lowerLetter"/>
      <w:lvlText w:val="%1)"/>
      <w:lvlJc w:val="left"/>
      <w:pPr>
        <w:ind w:left="1977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E247EFD"/>
    <w:multiLevelType w:val="hybridMultilevel"/>
    <w:tmpl w:val="5210B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A6CE1A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37"/>
  </w:num>
  <w:num w:numId="4">
    <w:abstractNumId w:val="39"/>
  </w:num>
  <w:num w:numId="5">
    <w:abstractNumId w:val="5"/>
  </w:num>
  <w:num w:numId="6">
    <w:abstractNumId w:val="10"/>
  </w:num>
  <w:num w:numId="7">
    <w:abstractNumId w:val="19"/>
  </w:num>
  <w:num w:numId="8">
    <w:abstractNumId w:val="0"/>
  </w:num>
  <w:num w:numId="9">
    <w:abstractNumId w:val="22"/>
  </w:num>
  <w:num w:numId="10">
    <w:abstractNumId w:val="21"/>
  </w:num>
  <w:num w:numId="11">
    <w:abstractNumId w:val="8"/>
  </w:num>
  <w:num w:numId="12">
    <w:abstractNumId w:val="7"/>
  </w:num>
  <w:num w:numId="13">
    <w:abstractNumId w:val="6"/>
  </w:num>
  <w:num w:numId="14">
    <w:abstractNumId w:val="38"/>
  </w:num>
  <w:num w:numId="15">
    <w:abstractNumId w:val="32"/>
  </w:num>
  <w:num w:numId="16">
    <w:abstractNumId w:val="30"/>
  </w:num>
  <w:num w:numId="17">
    <w:abstractNumId w:val="17"/>
  </w:num>
  <w:num w:numId="18">
    <w:abstractNumId w:val="31"/>
  </w:num>
  <w:num w:numId="19">
    <w:abstractNumId w:val="34"/>
  </w:num>
  <w:num w:numId="20">
    <w:abstractNumId w:val="23"/>
  </w:num>
  <w:num w:numId="21">
    <w:abstractNumId w:val="4"/>
  </w:num>
  <w:num w:numId="22">
    <w:abstractNumId w:val="13"/>
  </w:num>
  <w:num w:numId="23">
    <w:abstractNumId w:val="3"/>
  </w:num>
  <w:num w:numId="24">
    <w:abstractNumId w:val="26"/>
  </w:num>
  <w:num w:numId="25">
    <w:abstractNumId w:val="25"/>
  </w:num>
  <w:num w:numId="26">
    <w:abstractNumId w:val="27"/>
  </w:num>
  <w:num w:numId="27">
    <w:abstractNumId w:val="29"/>
  </w:num>
  <w:num w:numId="28">
    <w:abstractNumId w:val="12"/>
  </w:num>
  <w:num w:numId="29">
    <w:abstractNumId w:val="9"/>
  </w:num>
  <w:num w:numId="30">
    <w:abstractNumId w:val="35"/>
  </w:num>
  <w:num w:numId="31">
    <w:abstractNumId w:val="36"/>
  </w:num>
  <w:num w:numId="32">
    <w:abstractNumId w:val="33"/>
  </w:num>
  <w:num w:numId="33">
    <w:abstractNumId w:val="24"/>
  </w:num>
  <w:num w:numId="34">
    <w:abstractNumId w:val="1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2"/>
  </w:num>
  <w:num w:numId="38">
    <w:abstractNumId w:val="20"/>
  </w:num>
  <w:num w:numId="39">
    <w:abstractNumId w:val="15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4E"/>
    <w:rsid w:val="000060A1"/>
    <w:rsid w:val="000101ED"/>
    <w:rsid w:val="0001454F"/>
    <w:rsid w:val="00016433"/>
    <w:rsid w:val="0002589F"/>
    <w:rsid w:val="00030450"/>
    <w:rsid w:val="000306E4"/>
    <w:rsid w:val="000314E2"/>
    <w:rsid w:val="00036B3F"/>
    <w:rsid w:val="00050813"/>
    <w:rsid w:val="00052599"/>
    <w:rsid w:val="000536DC"/>
    <w:rsid w:val="00061ABB"/>
    <w:rsid w:val="00063B1E"/>
    <w:rsid w:val="000702AF"/>
    <w:rsid w:val="000704CB"/>
    <w:rsid w:val="000705B6"/>
    <w:rsid w:val="00077EBB"/>
    <w:rsid w:val="000859EB"/>
    <w:rsid w:val="000A65C9"/>
    <w:rsid w:val="000B2BA2"/>
    <w:rsid w:val="000B4C4A"/>
    <w:rsid w:val="000B62CD"/>
    <w:rsid w:val="000B6CBD"/>
    <w:rsid w:val="000D1EA9"/>
    <w:rsid w:val="000D3C96"/>
    <w:rsid w:val="000D3E3E"/>
    <w:rsid w:val="000D4F54"/>
    <w:rsid w:val="000D6E35"/>
    <w:rsid w:val="000D7957"/>
    <w:rsid w:val="000E0E2D"/>
    <w:rsid w:val="000E2765"/>
    <w:rsid w:val="000E56A0"/>
    <w:rsid w:val="000E65D2"/>
    <w:rsid w:val="000E77DE"/>
    <w:rsid w:val="000F1711"/>
    <w:rsid w:val="000F5AD6"/>
    <w:rsid w:val="000F69F1"/>
    <w:rsid w:val="00105D99"/>
    <w:rsid w:val="00132D4F"/>
    <w:rsid w:val="0013790D"/>
    <w:rsid w:val="00140028"/>
    <w:rsid w:val="00140E73"/>
    <w:rsid w:val="00140EE0"/>
    <w:rsid w:val="001436AF"/>
    <w:rsid w:val="00146577"/>
    <w:rsid w:val="00154295"/>
    <w:rsid w:val="00157621"/>
    <w:rsid w:val="00162134"/>
    <w:rsid w:val="001706FE"/>
    <w:rsid w:val="001728D7"/>
    <w:rsid w:val="00181E99"/>
    <w:rsid w:val="00182DC2"/>
    <w:rsid w:val="00184519"/>
    <w:rsid w:val="00184D31"/>
    <w:rsid w:val="00190D09"/>
    <w:rsid w:val="001958F5"/>
    <w:rsid w:val="0019602B"/>
    <w:rsid w:val="00197969"/>
    <w:rsid w:val="001B4733"/>
    <w:rsid w:val="001C2BB9"/>
    <w:rsid w:val="001C3642"/>
    <w:rsid w:val="001C7504"/>
    <w:rsid w:val="001D5F16"/>
    <w:rsid w:val="001E19D5"/>
    <w:rsid w:val="001F141B"/>
    <w:rsid w:val="001F37C0"/>
    <w:rsid w:val="001F3F9C"/>
    <w:rsid w:val="002071B6"/>
    <w:rsid w:val="00207CF5"/>
    <w:rsid w:val="00212D76"/>
    <w:rsid w:val="00212F65"/>
    <w:rsid w:val="002131D1"/>
    <w:rsid w:val="002152C5"/>
    <w:rsid w:val="002202F0"/>
    <w:rsid w:val="00222264"/>
    <w:rsid w:val="00231C9D"/>
    <w:rsid w:val="00236B2C"/>
    <w:rsid w:val="00244F2A"/>
    <w:rsid w:val="00246320"/>
    <w:rsid w:val="00262803"/>
    <w:rsid w:val="00271ACA"/>
    <w:rsid w:val="002747F8"/>
    <w:rsid w:val="00284284"/>
    <w:rsid w:val="002875AF"/>
    <w:rsid w:val="002932A8"/>
    <w:rsid w:val="00294172"/>
    <w:rsid w:val="002943FC"/>
    <w:rsid w:val="00295DCB"/>
    <w:rsid w:val="002A0804"/>
    <w:rsid w:val="002A1685"/>
    <w:rsid w:val="002A52DE"/>
    <w:rsid w:val="002A6B24"/>
    <w:rsid w:val="002A7D00"/>
    <w:rsid w:val="002B0CAD"/>
    <w:rsid w:val="002B29FB"/>
    <w:rsid w:val="002B2EDF"/>
    <w:rsid w:val="002B3936"/>
    <w:rsid w:val="002B43B2"/>
    <w:rsid w:val="002B774A"/>
    <w:rsid w:val="002D1295"/>
    <w:rsid w:val="002D4C63"/>
    <w:rsid w:val="002D5EF9"/>
    <w:rsid w:val="002E6221"/>
    <w:rsid w:val="002F096E"/>
    <w:rsid w:val="002F37B8"/>
    <w:rsid w:val="002F42F5"/>
    <w:rsid w:val="002F4FB3"/>
    <w:rsid w:val="003042E7"/>
    <w:rsid w:val="00311740"/>
    <w:rsid w:val="00314F06"/>
    <w:rsid w:val="003215ED"/>
    <w:rsid w:val="00327B0D"/>
    <w:rsid w:val="0033038C"/>
    <w:rsid w:val="003331E6"/>
    <w:rsid w:val="00333B30"/>
    <w:rsid w:val="00334580"/>
    <w:rsid w:val="00337956"/>
    <w:rsid w:val="003446F1"/>
    <w:rsid w:val="00350962"/>
    <w:rsid w:val="00350B80"/>
    <w:rsid w:val="00353EB8"/>
    <w:rsid w:val="003564C6"/>
    <w:rsid w:val="0036084A"/>
    <w:rsid w:val="003616D4"/>
    <w:rsid w:val="00362CC1"/>
    <w:rsid w:val="00362D1D"/>
    <w:rsid w:val="0036376B"/>
    <w:rsid w:val="00365596"/>
    <w:rsid w:val="0037173E"/>
    <w:rsid w:val="00376740"/>
    <w:rsid w:val="00380010"/>
    <w:rsid w:val="00381A35"/>
    <w:rsid w:val="00384411"/>
    <w:rsid w:val="003849A2"/>
    <w:rsid w:val="003A26F8"/>
    <w:rsid w:val="003A7664"/>
    <w:rsid w:val="003E2C12"/>
    <w:rsid w:val="003F1BB5"/>
    <w:rsid w:val="00410DE1"/>
    <w:rsid w:val="00411CE9"/>
    <w:rsid w:val="00412888"/>
    <w:rsid w:val="004166EE"/>
    <w:rsid w:val="004175D8"/>
    <w:rsid w:val="00424A8E"/>
    <w:rsid w:val="004262C0"/>
    <w:rsid w:val="0042736B"/>
    <w:rsid w:val="00427F00"/>
    <w:rsid w:val="00440427"/>
    <w:rsid w:val="00446AEC"/>
    <w:rsid w:val="00457BBD"/>
    <w:rsid w:val="00461F2E"/>
    <w:rsid w:val="00471C8C"/>
    <w:rsid w:val="004759D2"/>
    <w:rsid w:val="004764EF"/>
    <w:rsid w:val="00486378"/>
    <w:rsid w:val="00491325"/>
    <w:rsid w:val="00491751"/>
    <w:rsid w:val="00493B06"/>
    <w:rsid w:val="004B3144"/>
    <w:rsid w:val="004B3681"/>
    <w:rsid w:val="004B4754"/>
    <w:rsid w:val="004B5B90"/>
    <w:rsid w:val="004B7B74"/>
    <w:rsid w:val="004C32D0"/>
    <w:rsid w:val="004D46A5"/>
    <w:rsid w:val="004D484E"/>
    <w:rsid w:val="004D75E4"/>
    <w:rsid w:val="004F0AB7"/>
    <w:rsid w:val="004F3E59"/>
    <w:rsid w:val="004F55AB"/>
    <w:rsid w:val="004F7C43"/>
    <w:rsid w:val="005050B7"/>
    <w:rsid w:val="005060C2"/>
    <w:rsid w:val="005134DF"/>
    <w:rsid w:val="00513E2F"/>
    <w:rsid w:val="00523CFB"/>
    <w:rsid w:val="005252EF"/>
    <w:rsid w:val="00526CDE"/>
    <w:rsid w:val="00531C6B"/>
    <w:rsid w:val="00533CB5"/>
    <w:rsid w:val="00541AA0"/>
    <w:rsid w:val="00541B2D"/>
    <w:rsid w:val="005428F6"/>
    <w:rsid w:val="0055420F"/>
    <w:rsid w:val="00554CC0"/>
    <w:rsid w:val="005637B1"/>
    <w:rsid w:val="00576ABE"/>
    <w:rsid w:val="00584359"/>
    <w:rsid w:val="00590BD3"/>
    <w:rsid w:val="005924D6"/>
    <w:rsid w:val="00597B5F"/>
    <w:rsid w:val="005A2A1F"/>
    <w:rsid w:val="005A32FE"/>
    <w:rsid w:val="005A34F8"/>
    <w:rsid w:val="005A7972"/>
    <w:rsid w:val="005B3F1C"/>
    <w:rsid w:val="005C297D"/>
    <w:rsid w:val="005C3F80"/>
    <w:rsid w:val="005D39E1"/>
    <w:rsid w:val="005D62FE"/>
    <w:rsid w:val="005D7139"/>
    <w:rsid w:val="005D7E1B"/>
    <w:rsid w:val="005E23AF"/>
    <w:rsid w:val="005E5A26"/>
    <w:rsid w:val="005F49F4"/>
    <w:rsid w:val="00604000"/>
    <w:rsid w:val="00605106"/>
    <w:rsid w:val="00605809"/>
    <w:rsid w:val="0060758F"/>
    <w:rsid w:val="006165CC"/>
    <w:rsid w:val="006231B3"/>
    <w:rsid w:val="00635584"/>
    <w:rsid w:val="006401D8"/>
    <w:rsid w:val="006413C0"/>
    <w:rsid w:val="00641477"/>
    <w:rsid w:val="00641D18"/>
    <w:rsid w:val="00650D03"/>
    <w:rsid w:val="00663EA8"/>
    <w:rsid w:val="00666141"/>
    <w:rsid w:val="00667F9F"/>
    <w:rsid w:val="006741D8"/>
    <w:rsid w:val="00676703"/>
    <w:rsid w:val="006779BB"/>
    <w:rsid w:val="00690C82"/>
    <w:rsid w:val="00693146"/>
    <w:rsid w:val="006A29A9"/>
    <w:rsid w:val="006A2CC5"/>
    <w:rsid w:val="006A33AE"/>
    <w:rsid w:val="006A461A"/>
    <w:rsid w:val="006A65A7"/>
    <w:rsid w:val="006C11C3"/>
    <w:rsid w:val="006C158C"/>
    <w:rsid w:val="006C2A7F"/>
    <w:rsid w:val="006C4AB3"/>
    <w:rsid w:val="006C7DFD"/>
    <w:rsid w:val="006D1ECA"/>
    <w:rsid w:val="006E14B3"/>
    <w:rsid w:val="006E31CC"/>
    <w:rsid w:val="006E73E3"/>
    <w:rsid w:val="006F05F6"/>
    <w:rsid w:val="006F646D"/>
    <w:rsid w:val="006F658E"/>
    <w:rsid w:val="0070009C"/>
    <w:rsid w:val="0070154C"/>
    <w:rsid w:val="0070755B"/>
    <w:rsid w:val="00725DD4"/>
    <w:rsid w:val="007328AC"/>
    <w:rsid w:val="0073357F"/>
    <w:rsid w:val="00741FB6"/>
    <w:rsid w:val="0074260F"/>
    <w:rsid w:val="00751619"/>
    <w:rsid w:val="0075333D"/>
    <w:rsid w:val="00753CF1"/>
    <w:rsid w:val="00754094"/>
    <w:rsid w:val="00757581"/>
    <w:rsid w:val="00764934"/>
    <w:rsid w:val="00767852"/>
    <w:rsid w:val="00775F0F"/>
    <w:rsid w:val="00784DF3"/>
    <w:rsid w:val="007943F9"/>
    <w:rsid w:val="007A19D1"/>
    <w:rsid w:val="007A6C48"/>
    <w:rsid w:val="007B7AE4"/>
    <w:rsid w:val="007C2355"/>
    <w:rsid w:val="007D370B"/>
    <w:rsid w:val="007D6A82"/>
    <w:rsid w:val="007D6B0C"/>
    <w:rsid w:val="007E3D9F"/>
    <w:rsid w:val="007E50DC"/>
    <w:rsid w:val="007E780E"/>
    <w:rsid w:val="007E79BC"/>
    <w:rsid w:val="007F2F8F"/>
    <w:rsid w:val="007F40BD"/>
    <w:rsid w:val="008077A2"/>
    <w:rsid w:val="0080797D"/>
    <w:rsid w:val="00812021"/>
    <w:rsid w:val="00814BDB"/>
    <w:rsid w:val="008175B6"/>
    <w:rsid w:val="00820E87"/>
    <w:rsid w:val="008213E2"/>
    <w:rsid w:val="00825840"/>
    <w:rsid w:val="00826204"/>
    <w:rsid w:val="008273C0"/>
    <w:rsid w:val="00830172"/>
    <w:rsid w:val="008507C9"/>
    <w:rsid w:val="008637C0"/>
    <w:rsid w:val="00881019"/>
    <w:rsid w:val="00883082"/>
    <w:rsid w:val="0088566D"/>
    <w:rsid w:val="00890603"/>
    <w:rsid w:val="00893074"/>
    <w:rsid w:val="0089398B"/>
    <w:rsid w:val="00893D0A"/>
    <w:rsid w:val="00897E37"/>
    <w:rsid w:val="008B03B4"/>
    <w:rsid w:val="008B2228"/>
    <w:rsid w:val="008C6188"/>
    <w:rsid w:val="008F1CFF"/>
    <w:rsid w:val="008F3884"/>
    <w:rsid w:val="008F6A7F"/>
    <w:rsid w:val="008F6EFE"/>
    <w:rsid w:val="00902CA5"/>
    <w:rsid w:val="00904B9A"/>
    <w:rsid w:val="00906D71"/>
    <w:rsid w:val="009117A0"/>
    <w:rsid w:val="00916500"/>
    <w:rsid w:val="009168BB"/>
    <w:rsid w:val="0092023F"/>
    <w:rsid w:val="00927C00"/>
    <w:rsid w:val="009326EC"/>
    <w:rsid w:val="009347AE"/>
    <w:rsid w:val="009448C2"/>
    <w:rsid w:val="009449F7"/>
    <w:rsid w:val="00956EBB"/>
    <w:rsid w:val="009657EC"/>
    <w:rsid w:val="00977259"/>
    <w:rsid w:val="00981791"/>
    <w:rsid w:val="009864D1"/>
    <w:rsid w:val="00990F33"/>
    <w:rsid w:val="00991836"/>
    <w:rsid w:val="009971C9"/>
    <w:rsid w:val="00997EEB"/>
    <w:rsid w:val="009A1687"/>
    <w:rsid w:val="009B3DAA"/>
    <w:rsid w:val="009B4B5C"/>
    <w:rsid w:val="009C0311"/>
    <w:rsid w:val="009C0D81"/>
    <w:rsid w:val="009C2793"/>
    <w:rsid w:val="009C684E"/>
    <w:rsid w:val="009D72F2"/>
    <w:rsid w:val="009E5902"/>
    <w:rsid w:val="009F3AD8"/>
    <w:rsid w:val="00A11E2F"/>
    <w:rsid w:val="00A12A43"/>
    <w:rsid w:val="00A16D9D"/>
    <w:rsid w:val="00A24DE9"/>
    <w:rsid w:val="00A2761C"/>
    <w:rsid w:val="00A357E4"/>
    <w:rsid w:val="00A36633"/>
    <w:rsid w:val="00A44210"/>
    <w:rsid w:val="00A46180"/>
    <w:rsid w:val="00A575B9"/>
    <w:rsid w:val="00A63096"/>
    <w:rsid w:val="00A74934"/>
    <w:rsid w:val="00A759FD"/>
    <w:rsid w:val="00A75D1E"/>
    <w:rsid w:val="00A8655F"/>
    <w:rsid w:val="00A92798"/>
    <w:rsid w:val="00A97A1E"/>
    <w:rsid w:val="00AA39A0"/>
    <w:rsid w:val="00AB0813"/>
    <w:rsid w:val="00AC436C"/>
    <w:rsid w:val="00AD1C73"/>
    <w:rsid w:val="00AD3D3D"/>
    <w:rsid w:val="00AD5153"/>
    <w:rsid w:val="00AE0B63"/>
    <w:rsid w:val="00AE23D1"/>
    <w:rsid w:val="00AE4769"/>
    <w:rsid w:val="00AE5E73"/>
    <w:rsid w:val="00AF1C66"/>
    <w:rsid w:val="00AF2EEB"/>
    <w:rsid w:val="00AF45FF"/>
    <w:rsid w:val="00B00D8B"/>
    <w:rsid w:val="00B04F32"/>
    <w:rsid w:val="00B10652"/>
    <w:rsid w:val="00B10C01"/>
    <w:rsid w:val="00B1226A"/>
    <w:rsid w:val="00B20721"/>
    <w:rsid w:val="00B31E98"/>
    <w:rsid w:val="00B349C8"/>
    <w:rsid w:val="00B361F6"/>
    <w:rsid w:val="00B3670C"/>
    <w:rsid w:val="00B369E7"/>
    <w:rsid w:val="00B40FCB"/>
    <w:rsid w:val="00B41E8E"/>
    <w:rsid w:val="00B44674"/>
    <w:rsid w:val="00B47A25"/>
    <w:rsid w:val="00B47B05"/>
    <w:rsid w:val="00B6184C"/>
    <w:rsid w:val="00B72354"/>
    <w:rsid w:val="00B87EDB"/>
    <w:rsid w:val="00BA0343"/>
    <w:rsid w:val="00BA32D5"/>
    <w:rsid w:val="00BB12EE"/>
    <w:rsid w:val="00BB1448"/>
    <w:rsid w:val="00BB6553"/>
    <w:rsid w:val="00BC548B"/>
    <w:rsid w:val="00BC5B8D"/>
    <w:rsid w:val="00BC7C0B"/>
    <w:rsid w:val="00BD0AC2"/>
    <w:rsid w:val="00BD6DE9"/>
    <w:rsid w:val="00BF4071"/>
    <w:rsid w:val="00BF67EA"/>
    <w:rsid w:val="00C00325"/>
    <w:rsid w:val="00C008EC"/>
    <w:rsid w:val="00C05827"/>
    <w:rsid w:val="00C06438"/>
    <w:rsid w:val="00C10442"/>
    <w:rsid w:val="00C20D2E"/>
    <w:rsid w:val="00C3178A"/>
    <w:rsid w:val="00C34A59"/>
    <w:rsid w:val="00C4583F"/>
    <w:rsid w:val="00C510E4"/>
    <w:rsid w:val="00C55393"/>
    <w:rsid w:val="00C72BD8"/>
    <w:rsid w:val="00C72D29"/>
    <w:rsid w:val="00C81E70"/>
    <w:rsid w:val="00C90A38"/>
    <w:rsid w:val="00C94ACD"/>
    <w:rsid w:val="00CA6E6C"/>
    <w:rsid w:val="00CA6F61"/>
    <w:rsid w:val="00CB70A4"/>
    <w:rsid w:val="00CB77D5"/>
    <w:rsid w:val="00CC3D6F"/>
    <w:rsid w:val="00CC4495"/>
    <w:rsid w:val="00CD052A"/>
    <w:rsid w:val="00CD43BD"/>
    <w:rsid w:val="00CE2AC2"/>
    <w:rsid w:val="00CF29BB"/>
    <w:rsid w:val="00D05371"/>
    <w:rsid w:val="00D07F1B"/>
    <w:rsid w:val="00D111AD"/>
    <w:rsid w:val="00D12E73"/>
    <w:rsid w:val="00D14850"/>
    <w:rsid w:val="00D14EA3"/>
    <w:rsid w:val="00D2297C"/>
    <w:rsid w:val="00D232D2"/>
    <w:rsid w:val="00D32465"/>
    <w:rsid w:val="00D505E8"/>
    <w:rsid w:val="00D5453A"/>
    <w:rsid w:val="00D64C4B"/>
    <w:rsid w:val="00D67C87"/>
    <w:rsid w:val="00D77849"/>
    <w:rsid w:val="00D80A8E"/>
    <w:rsid w:val="00D921EE"/>
    <w:rsid w:val="00DA3C23"/>
    <w:rsid w:val="00DB32F6"/>
    <w:rsid w:val="00DB539B"/>
    <w:rsid w:val="00DB57B8"/>
    <w:rsid w:val="00DD3AE5"/>
    <w:rsid w:val="00DD3FBF"/>
    <w:rsid w:val="00DD59FF"/>
    <w:rsid w:val="00DE6E3A"/>
    <w:rsid w:val="00DF0F2C"/>
    <w:rsid w:val="00DF32CD"/>
    <w:rsid w:val="00DF5B74"/>
    <w:rsid w:val="00E03A2B"/>
    <w:rsid w:val="00E05668"/>
    <w:rsid w:val="00E1046C"/>
    <w:rsid w:val="00E106C5"/>
    <w:rsid w:val="00E13ABD"/>
    <w:rsid w:val="00E13B2F"/>
    <w:rsid w:val="00E22243"/>
    <w:rsid w:val="00E22FBF"/>
    <w:rsid w:val="00E234D6"/>
    <w:rsid w:val="00E30CE2"/>
    <w:rsid w:val="00E37B03"/>
    <w:rsid w:val="00E414D8"/>
    <w:rsid w:val="00E46F47"/>
    <w:rsid w:val="00E53EB5"/>
    <w:rsid w:val="00E554A1"/>
    <w:rsid w:val="00E55C06"/>
    <w:rsid w:val="00E61B0A"/>
    <w:rsid w:val="00E628E2"/>
    <w:rsid w:val="00E6780F"/>
    <w:rsid w:val="00E90251"/>
    <w:rsid w:val="00EA4F56"/>
    <w:rsid w:val="00EA7D08"/>
    <w:rsid w:val="00EB0E9D"/>
    <w:rsid w:val="00EB76BA"/>
    <w:rsid w:val="00ED1830"/>
    <w:rsid w:val="00ED440B"/>
    <w:rsid w:val="00ED50C4"/>
    <w:rsid w:val="00ED5841"/>
    <w:rsid w:val="00ED6597"/>
    <w:rsid w:val="00EE3420"/>
    <w:rsid w:val="00EF4096"/>
    <w:rsid w:val="00F139DB"/>
    <w:rsid w:val="00F13CF9"/>
    <w:rsid w:val="00F21D1B"/>
    <w:rsid w:val="00F24053"/>
    <w:rsid w:val="00F27FEF"/>
    <w:rsid w:val="00F301EA"/>
    <w:rsid w:val="00F31D90"/>
    <w:rsid w:val="00F33736"/>
    <w:rsid w:val="00F36E11"/>
    <w:rsid w:val="00F372A7"/>
    <w:rsid w:val="00F37501"/>
    <w:rsid w:val="00F47542"/>
    <w:rsid w:val="00F528EE"/>
    <w:rsid w:val="00F5472A"/>
    <w:rsid w:val="00F54E62"/>
    <w:rsid w:val="00F66170"/>
    <w:rsid w:val="00F7062D"/>
    <w:rsid w:val="00F72D9A"/>
    <w:rsid w:val="00F749E1"/>
    <w:rsid w:val="00F76B7A"/>
    <w:rsid w:val="00F80785"/>
    <w:rsid w:val="00F82140"/>
    <w:rsid w:val="00F853D2"/>
    <w:rsid w:val="00F8645B"/>
    <w:rsid w:val="00F96092"/>
    <w:rsid w:val="00FA493A"/>
    <w:rsid w:val="00FA6B95"/>
    <w:rsid w:val="00FB60CA"/>
    <w:rsid w:val="00FC34C7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07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C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81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019"/>
  </w:style>
  <w:style w:type="paragraph" w:styleId="Pidipagina">
    <w:name w:val="footer"/>
    <w:basedOn w:val="Normale"/>
    <w:link w:val="PidipaginaCarattere"/>
    <w:uiPriority w:val="99"/>
    <w:unhideWhenUsed/>
    <w:rsid w:val="00881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019"/>
  </w:style>
  <w:style w:type="character" w:styleId="Collegamentoipertestuale">
    <w:name w:val="Hyperlink"/>
    <w:basedOn w:val="Carpredefinitoparagrafo"/>
    <w:uiPriority w:val="99"/>
    <w:unhideWhenUsed/>
    <w:rsid w:val="0070009C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3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375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7501"/>
    <w:rPr>
      <w:vertAlign w:val="superscript"/>
    </w:rPr>
  </w:style>
  <w:style w:type="character" w:styleId="Rimandocommento">
    <w:name w:val="annotation reference"/>
    <w:semiHidden/>
    <w:rsid w:val="009864D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8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864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628E2"/>
    <w:pPr>
      <w:ind w:left="720"/>
      <w:contextualSpacing/>
    </w:pPr>
  </w:style>
  <w:style w:type="table" w:styleId="Grigliatabella">
    <w:name w:val="Table Grid"/>
    <w:basedOn w:val="Tabellanormale"/>
    <w:rsid w:val="00036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e"/>
    <w:rsid w:val="00CB77D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04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044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C104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customStyle="1" w:styleId="BodyText21">
    <w:name w:val="Body Text 21"/>
    <w:basedOn w:val="Normale"/>
    <w:rsid w:val="00A16D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C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81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019"/>
  </w:style>
  <w:style w:type="paragraph" w:styleId="Pidipagina">
    <w:name w:val="footer"/>
    <w:basedOn w:val="Normale"/>
    <w:link w:val="PidipaginaCarattere"/>
    <w:uiPriority w:val="99"/>
    <w:unhideWhenUsed/>
    <w:rsid w:val="00881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019"/>
  </w:style>
  <w:style w:type="character" w:styleId="Collegamentoipertestuale">
    <w:name w:val="Hyperlink"/>
    <w:basedOn w:val="Carpredefinitoparagrafo"/>
    <w:uiPriority w:val="99"/>
    <w:unhideWhenUsed/>
    <w:rsid w:val="0070009C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3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3750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7501"/>
    <w:rPr>
      <w:vertAlign w:val="superscript"/>
    </w:rPr>
  </w:style>
  <w:style w:type="character" w:styleId="Rimandocommento">
    <w:name w:val="annotation reference"/>
    <w:semiHidden/>
    <w:rsid w:val="009864D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8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864D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628E2"/>
    <w:pPr>
      <w:ind w:left="720"/>
      <w:contextualSpacing/>
    </w:pPr>
  </w:style>
  <w:style w:type="table" w:styleId="Grigliatabella">
    <w:name w:val="Table Grid"/>
    <w:basedOn w:val="Tabellanormale"/>
    <w:rsid w:val="00036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e"/>
    <w:rsid w:val="00CB77D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044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044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C104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customStyle="1" w:styleId="BodyText21">
    <w:name w:val="Body Text 21"/>
    <w:basedOn w:val="Normale"/>
    <w:rsid w:val="00A16D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ianif.acquisti.monit.contratti@pec.agenziariscossione.gov.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ianif.acquisti.monit.contratti@pec.agenziariscossione.gov.i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ivacy@agenziariscossione.gov.it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2018E1A36604F9B1A995A27E51094" ma:contentTypeVersion="14" ma:contentTypeDescription="Creare un nuovo documento." ma:contentTypeScope="" ma:versionID="303946cd1ccc41e7ac609c67f025db90">
  <xsd:schema xmlns:xsd="http://www.w3.org/2001/XMLSchema" xmlns:xs="http://www.w3.org/2001/XMLSchema" xmlns:p="http://schemas.microsoft.com/office/2006/metadata/properties" xmlns:ns1="http://schemas.microsoft.com/sharepoint/v3" xmlns:ns2="4fc2d241-3083-4529-b0a6-262ec50760ed" xmlns:ns3="4fc7d786-1831-4f89-a212-a304f6a3d91b" targetNamespace="http://schemas.microsoft.com/office/2006/metadata/properties" ma:root="true" ma:fieldsID="c52bd42ecb99fe153d6a9c619be1d49e" ns1:_="" ns2:_="" ns3:_="">
    <xsd:import namespace="http://schemas.microsoft.com/sharepoint/v3"/>
    <xsd:import namespace="4fc2d241-3083-4529-b0a6-262ec50760ed"/>
    <xsd:import namespace="4fc7d786-1831-4f89-a212-a304f6a3d91b"/>
    <xsd:element name="properties">
      <xsd:complexType>
        <xsd:sequence>
          <xsd:element name="documentManagement">
            <xsd:complexType>
              <xsd:all>
                <xsd:element ref="ns2:Sottotitolo" minOccurs="0"/>
                <xsd:element ref="ns2:Argomento" minOccurs="0"/>
                <xsd:element ref="ns2:Data_x0020_documento" minOccurs="0"/>
                <xsd:element ref="ns1:PublishingStartDate" minOccurs="0"/>
                <xsd:element ref="ns1:PublishingExpirationDate" minOccurs="0"/>
                <xsd:element ref="ns2:Anno" minOccurs="0"/>
                <xsd:element ref="ns2:Società_x0020_Autore" minOccurs="0"/>
                <xsd:element ref="ns2:Disclaimer" minOccurs="0"/>
                <xsd:element ref="ns2:Programma" minOccurs="0"/>
                <xsd:element ref="ns2:Progetto" minOccurs="0"/>
                <xsd:element ref="ns2:File_x0020_Tipo" minOccurs="0"/>
                <xsd:element ref="ns2:Template" minOccurs="0"/>
                <xsd:element ref="ns2:Raccolta_x0020_documenti" minOccurs="0"/>
                <xsd:element ref="ns2:Data_x0020_pubblicazione" minOccurs="0"/>
                <xsd:element ref="ns2:Abstract" minOccurs="0"/>
                <xsd:element ref="ns2:Area_x0020_tematica" minOccurs="0"/>
                <xsd:element ref="ns3:NoteECommenti" minOccurs="0"/>
                <xsd:element ref="ns3:Stato" minOccurs="0"/>
                <xsd:element ref="ns3:Numero_x0020_progressivo" minOccurs="0"/>
                <xsd:element ref="ns3:Allegati" minOccurs="0"/>
                <xsd:element ref="ns3:ListaIDAllegati" minOccurs="0"/>
                <xsd:element ref="ns3:RIF" minOccurs="0"/>
                <xsd:element ref="ns3:TipologiaSNA" minOccurs="0"/>
                <xsd:element ref="ns3:TitoloCustom" minOccurs="0"/>
                <xsd:element ref="ns3:Oggetto" minOccurs="0"/>
                <xsd:element ref="ns2:ka64fb6500dd4bc89a0d82321ec41487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Data inizio pianificazione" ma:internalName="PublishingStartDate">
      <xsd:simpleType>
        <xsd:restriction base="dms:Unknown"/>
      </xsd:simpleType>
    </xsd:element>
    <xsd:element name="PublishingExpirationDate" ma:index="6" nillable="true" ma:displayName="Data fine pianificazion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2d241-3083-4529-b0a6-262ec50760ed" elementFormDefault="qualified">
    <xsd:import namespace="http://schemas.microsoft.com/office/2006/documentManagement/types"/>
    <xsd:import namespace="http://schemas.microsoft.com/office/infopath/2007/PartnerControls"/>
    <xsd:element name="Sottotitolo" ma:index="2" nillable="true" ma:displayName="Sottotitolo" ma:internalName="Sottotitolo">
      <xsd:simpleType>
        <xsd:restriction base="dms:Text">
          <xsd:maxLength value="255"/>
        </xsd:restriction>
      </xsd:simpleType>
    </xsd:element>
    <xsd:element name="Argomento" ma:index="3" nillable="true" ma:displayName="Argomento" ma:format="Dropdown" ma:internalName="Argomento">
      <xsd:simpleType>
        <xsd:restriction base="dms:Choice">
          <xsd:enumeration value="ACQUISTI E LOGISTICA"/>
          <xsd:enumeration value="AFFARI GENERALI"/>
          <xsd:enumeration value="AMMINISTRAZIONE E FINANZA"/>
          <xsd:enumeration value="CARICO RUOLI"/>
          <xsd:enumeration value="CARTELLAZIONE"/>
          <xsd:enumeration value="CONTENZIOSO DELLA RISCOSSIONE"/>
          <xsd:enumeration value="ELABORAZIONE E GESTIONE ATTI ESATTORIALI"/>
          <xsd:enumeration value="ELABORAZIONE E GESTIONE DOCUMENTI FISCALITÀ LOCALE (GIA, TARSU, …)"/>
          <xsd:enumeration value="GESTIONE DELEGHE ATTIVE E PASSIVE"/>
          <xsd:enumeration value="GESTIONE ENTI"/>
          <xsd:enumeration value="GESTIONE MAGGIORI RATEAZIONI"/>
          <xsd:enumeration value="GESTIONE INESIGIBILITÀ"/>
          <xsd:enumeration value="INTERNAL AUDIT"/>
          <xsd:enumeration value="LEGALE E SOCIETARIO"/>
          <xsd:enumeration value="NOTIFICA A/R"/>
          <xsd:enumeration value="NOTIFICA MESSO UDR"/>
          <xsd:enumeration value="ORGANIZZAZIONE"/>
          <xsd:enumeration value="PIANIFICAZIONE E CONTROLLO"/>
          <xsd:enumeration value="PIANIFICAZIONE E MONITORAGGIO DELLA PRODUZIONE"/>
          <xsd:enumeration value="PROVVEDIMENTI MODIFICATIVI"/>
          <xsd:enumeration value="RELAZIONI ESTERNE / ISTITUZIONALI"/>
          <xsd:enumeration value="RENDICONTAZIONE"/>
          <xsd:enumeration value="RISCOSSIONE E INCASSI"/>
          <xsd:enumeration value="RISCOSSIONE COATTIVA"/>
          <xsd:enumeration value="RISORSE UMANE"/>
          <xsd:enumeration value="RIVERSAMENTO"/>
          <xsd:enumeration value="SERVIZI AL CONTRIBUENTE"/>
          <xsd:enumeration value="SISTEMI IT"/>
          <xsd:enumeration value="SPEDIZIONE POSTA MASSIVA"/>
        </xsd:restriction>
      </xsd:simpleType>
    </xsd:element>
    <xsd:element name="Data_x0020_documento" ma:index="4" nillable="true" ma:displayName="Data" ma:format="DateOnly" ma:internalName="Data_x0020_documento">
      <xsd:simpleType>
        <xsd:restriction base="dms:DateTime"/>
      </xsd:simpleType>
    </xsd:element>
    <xsd:element name="Anno" ma:index="7" nillable="true" ma:displayName="Anno" ma:internalName="Anno">
      <xsd:simpleType>
        <xsd:restriction base="dms:Text">
          <xsd:maxLength value="4"/>
        </xsd:restriction>
      </xsd:simpleType>
    </xsd:element>
    <xsd:element name="Società_x0020_Autore" ma:index="8" nillable="true" ma:displayName="Società" ma:internalName="Societ_x00e0__x0020_Autore">
      <xsd:simpleType>
        <xsd:restriction base="dms:Text">
          <xsd:maxLength value="255"/>
        </xsd:restriction>
      </xsd:simpleType>
    </xsd:element>
    <xsd:element name="Disclaimer" ma:index="9" nillable="true" ma:displayName="Disclaimer" ma:hidden="true" ma:internalName="Disclaimer" ma:readOnly="false">
      <xsd:simpleType>
        <xsd:restriction base="dms:Text">
          <xsd:maxLength value="255"/>
        </xsd:restriction>
      </xsd:simpleType>
    </xsd:element>
    <xsd:element name="Programma" ma:index="10" nillable="true" ma:displayName="Programma" ma:hidden="true" ma:internalName="Programma" ma:readOnly="false">
      <xsd:simpleType>
        <xsd:restriction base="dms:Text">
          <xsd:maxLength value="255"/>
        </xsd:restriction>
      </xsd:simpleType>
    </xsd:element>
    <xsd:element name="Progetto" ma:index="11" nillable="true" ma:displayName="Progetto" ma:hidden="true" ma:internalName="Progetto" ma:readOnly="false">
      <xsd:simpleType>
        <xsd:restriction base="dms:Text">
          <xsd:maxLength value="255"/>
        </xsd:restriction>
      </xsd:simpleType>
    </xsd:element>
    <xsd:element name="File_x0020_Tipo" ma:index="12" nillable="true" ma:displayName="File Tipo" ma:format="Dropdown" ma:hidden="true" ma:internalName="File_x0020_Tipo" ma:readOnly="false">
      <xsd:simpleType>
        <xsd:restriction base="dms:Choice">
          <xsd:enumeration value="Immagini"/>
          <xsd:enumeration value="File audio"/>
          <xsd:enumeration value="Filmati"/>
          <xsd:enumeration value="Documento"/>
          <xsd:enumeration value="Pagina"/>
          <xsd:enumeration value="Altro"/>
        </xsd:restriction>
      </xsd:simpleType>
    </xsd:element>
    <xsd:element name="Template" ma:index="13" nillable="true" ma:displayName="Template" ma:hidden="true" ma:internalName="Template" ma:readOnly="false">
      <xsd:simpleType>
        <xsd:restriction base="dms:Text">
          <xsd:maxLength value="255"/>
        </xsd:restriction>
      </xsd:simpleType>
    </xsd:element>
    <xsd:element name="Raccolta_x0020_documenti" ma:index="14" nillable="true" ma:displayName="Raccolta documenti" ma:description="Valorizzare con il nome della Document Library se la sottoscrizione deve interessare  la Document Library piuttosto che la Pagina." ma:hidden="true" ma:internalName="Raccolta_x0020_documenti" ma:readOnly="false">
      <xsd:simpleType>
        <xsd:restriction base="dms:Text">
          <xsd:maxLength value="255"/>
        </xsd:restriction>
      </xsd:simpleType>
    </xsd:element>
    <xsd:element name="Data_x0020_pubblicazione" ma:index="21" nillable="true" ma:displayName="Data pubblicazione" ma:format="DateOnly" ma:hidden="true" ma:internalName="Data_x0020_pubblicazione" ma:readOnly="false">
      <xsd:simpleType>
        <xsd:restriction base="dms:DateTime"/>
      </xsd:simpleType>
    </xsd:element>
    <xsd:element name="Abstract" ma:index="22" nillable="true" ma:displayName="Abstract" ma:hidden="true" ma:internalName="Abstract" ma:readOnly="false">
      <xsd:simpleType>
        <xsd:restriction base="dms:Note"/>
      </xsd:simpleType>
    </xsd:element>
    <xsd:element name="Area_x0020_tematica" ma:index="23" nillable="true" ma:displayName="Area tematica" ma:hidden="true" ma:internalName="Area_x0020_tematica" ma:readOnly="false">
      <xsd:simpleType>
        <xsd:restriction base="dms:Text">
          <xsd:maxLength value="255"/>
        </xsd:restriction>
      </xsd:simpleType>
    </xsd:element>
    <xsd:element name="ka64fb6500dd4bc89a0d82321ec41487" ma:index="35" nillable="true" ma:taxonomy="true" ma:internalName="ka64fb6500dd4bc89a0d82321ec41487" ma:taxonomyFieldName="TagNormativaAziendale" ma:displayName="TagNormativaAziendale" ma:default="" ma:fieldId="{4a64fb65-00dd-4bc8-9a0d-82321ec41487}" ma:taxonomyMulti="true" ma:sspId="0aa4a701-64ec-4c9c-9697-f623d27efa16" ma:termSetId="e4469fbe-ee56-423d-bbe0-10ded88f59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Colonna per tutti i valori di tassonomia" ma:hidden="true" ma:list="{cc0b964f-1a2c-4abf-8643-f118ac2d8a32}" ma:internalName="TaxCatchAll" ma:showField="CatchAllData" ma:web="4fc2d241-3083-4529-b0a6-262ec5076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d786-1831-4f89-a212-a304f6a3d91b" elementFormDefault="qualified">
    <xsd:import namespace="http://schemas.microsoft.com/office/2006/documentManagement/types"/>
    <xsd:import namespace="http://schemas.microsoft.com/office/infopath/2007/PartnerControls"/>
    <xsd:element name="NoteECommenti" ma:index="24" nillable="true" ma:displayName="Note e commenti" ma:internalName="NoteECommenti">
      <xsd:simpleType>
        <xsd:restriction base="dms:Text">
          <xsd:maxLength value="255"/>
        </xsd:restriction>
      </xsd:simpleType>
    </xsd:element>
    <xsd:element name="Stato" ma:index="25" nillable="true" ma:displayName="Stato" ma:format="Dropdown" ma:internalName="Stato">
      <xsd:simpleType>
        <xsd:restriction base="dms:Choice">
          <xsd:enumeration value="NUOVA VERSIONE IN VIGORE"/>
          <xsd:enumeration value="IN VIGORE"/>
          <xsd:enumeration value="DISMESSO"/>
        </xsd:restriction>
      </xsd:simpleType>
    </xsd:element>
    <xsd:element name="Numero_x0020_progressivo" ma:index="26" nillable="true" ma:displayName="Numero progressivo" ma:decimals="0" ma:internalName="Numero_x0020_progressivo">
      <xsd:simpleType>
        <xsd:restriction base="dms:Number">
          <xsd:minInclusive value="1"/>
        </xsd:restriction>
      </xsd:simpleType>
    </xsd:element>
    <xsd:element name="Allegati" ma:index="27" nillable="true" ma:displayName="Allegati" ma:internalName="Allegati">
      <xsd:simpleType>
        <xsd:restriction base="dms:Note">
          <xsd:maxLength value="255"/>
        </xsd:restriction>
      </xsd:simpleType>
    </xsd:element>
    <xsd:element name="ListaIDAllegati" ma:index="28" nillable="true" ma:displayName="ListaIDAllegati" ma:internalName="ListaIDAllegati">
      <xsd:simpleType>
        <xsd:restriction base="dms:Text">
          <xsd:maxLength value="255"/>
        </xsd:restriction>
      </xsd:simpleType>
    </xsd:element>
    <xsd:element name="RIF" ma:index="29" nillable="true" ma:displayName="RIF" ma:internalName="RIF">
      <xsd:simpleType>
        <xsd:restriction base="dms:Text">
          <xsd:maxLength value="255"/>
        </xsd:restriction>
      </xsd:simpleType>
    </xsd:element>
    <xsd:element name="TipologiaSNA" ma:index="30" nillable="true" ma:displayName="TipologiaSNA" ma:format="Dropdown" ma:internalName="TipologiaSNA">
      <xsd:simpleType>
        <xsd:restriction base="dms:Choice">
          <xsd:enumeration value="ALLEGATO GENERICO"/>
        </xsd:restriction>
      </xsd:simpleType>
    </xsd:element>
    <xsd:element name="TitoloCustom" ma:index="31" nillable="true" ma:displayName="TitoloCustom" ma:internalName="TitoloCustom">
      <xsd:simpleType>
        <xsd:restriction base="dms:Text">
          <xsd:maxLength value="255"/>
        </xsd:restriction>
      </xsd:simpleType>
    </xsd:element>
    <xsd:element name="Oggetto" ma:index="33" nillable="true" ma:displayName="Oggetto" ma:internalName="Oggett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ipo di contenuto"/>
        <xsd:element ref="dc:title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ipo xmlns="4fc2d241-3083-4529-b0a6-262ec50760ed" xsi:nil="true"/>
    <Area_x0020_tematica xmlns="4fc2d241-3083-4529-b0a6-262ec50760ed" xsi:nil="true"/>
    <Allegati xmlns="4fc7d786-1831-4f89-a212-a304f6a3d91b" xsi:nil="true"/>
    <TitoloCustom xmlns="4fc7d786-1831-4f89-a212-a304f6a3d91b">A_EQ_FORMAT CARTA INTESTATA AER_C191</TitoloCustom>
    <Società_x0020_Autore xmlns="4fc2d241-3083-4529-b0a6-262ec50760ed">GRUPPO</Società_x0020_Autore>
    <Disclaimer xmlns="4fc2d241-3083-4529-b0a6-262ec50760ed" xsi:nil="true"/>
    <Sottotitolo xmlns="4fc2d241-3083-4529-b0a6-262ec50760ed" xsi:nil="true"/>
    <Programma xmlns="4fc2d241-3083-4529-b0a6-262ec50760ed" xsi:nil="true"/>
    <Argomento xmlns="4fc2d241-3083-4529-b0a6-262ec50760ed" xsi:nil="true"/>
    <Progetto xmlns="4fc2d241-3083-4529-b0a6-262ec50760ed" xsi:nil="true"/>
    <Anno xmlns="4fc2d241-3083-4529-b0a6-262ec50760ed">2017</Anno>
    <Stato xmlns="4fc7d786-1831-4f89-a212-a304f6a3d91b">IN VIGORE</Stato>
    <Data_x0020_documento xmlns="4fc2d241-3083-4529-b0a6-262ec50760ed">2017-06-28T00:00:00+00:00</Data_x0020_documento>
    <Template xmlns="4fc2d241-3083-4529-b0a6-262ec50760ed" xsi:nil="true"/>
    <Data_x0020_pubblicazione xmlns="4fc2d241-3083-4529-b0a6-262ec50760ed" xsi:nil="true"/>
    <RIF xmlns="4fc7d786-1831-4f89-a212-a304f6a3d91b">C191</RIF>
    <PublishingExpirationDate xmlns="http://schemas.microsoft.com/sharepoint/v3" xsi:nil="true"/>
    <Raccolta_x0020_documenti xmlns="4fc2d241-3083-4529-b0a6-262ec50760ed" xsi:nil="true"/>
    <Abstract xmlns="4fc2d241-3083-4529-b0a6-262ec50760ed" xsi:nil="true"/>
    <TaxCatchAll xmlns="4fc2d241-3083-4529-b0a6-262ec50760ed"/>
    <Numero_x0020_progressivo xmlns="4fc7d786-1831-4f89-a212-a304f6a3d91b" xsi:nil="true"/>
    <PublishingStartDate xmlns="http://schemas.microsoft.com/sharepoint/v3" xsi:nil="true"/>
    <Oggetto xmlns="4fc7d786-1831-4f89-a212-a304f6a3d91b" xsi:nil="true"/>
    <TipologiaSNA xmlns="4fc7d786-1831-4f89-a212-a304f6a3d91b">ALLEGATO GENERICO</TipologiaSNA>
    <ka64fb6500dd4bc89a0d82321ec41487 xmlns="4fc2d241-3083-4529-b0a6-262ec50760ed">
      <Terms xmlns="http://schemas.microsoft.com/office/infopath/2007/PartnerControls"/>
    </ka64fb6500dd4bc89a0d82321ec41487>
    <NoteECommenti xmlns="4fc7d786-1831-4f89-a212-a304f6a3d91b" xsi:nil="true"/>
    <ListaIDAllegati xmlns="4fc7d786-1831-4f89-a212-a304f6a3d9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D32-10C9-4E9B-B430-98BA60D7B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BD3F0-79A4-4E99-9781-F53DEE8BD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c2d241-3083-4529-b0a6-262ec50760ed"/>
    <ds:schemaRef ds:uri="4fc7d786-1831-4f89-a212-a304f6a3d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27CC0-987C-4F3F-871D-29BF125A4A26}">
  <ds:schemaRefs>
    <ds:schemaRef ds:uri="http://schemas.microsoft.com/office/2006/metadata/properties"/>
    <ds:schemaRef ds:uri="http://schemas.microsoft.com/office/infopath/2007/PartnerControls"/>
    <ds:schemaRef ds:uri="4fc2d241-3083-4529-b0a6-262ec50760ed"/>
    <ds:schemaRef ds:uri="4fc7d786-1831-4f89-a212-a304f6a3d91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5168B2F-1790-4B7A-BA81-258F5032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3744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A_EQ_FORMAT CARTA INTESTATA AER_C191</vt:lpstr>
    </vt:vector>
  </TitlesOfParts>
  <Company>Equitalia SUD</Company>
  <LinksUpToDate>false</LinksUpToDate>
  <CharactersWithSpaces>25037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A_EQ_FORMAT CARTA INTESTATA AER_C191</dc:title>
  <dc:creator>RUTILI SILVIA</dc:creator>
  <cp:lastModifiedBy>MERCURI ROSSELLA</cp:lastModifiedBy>
  <cp:revision>2</cp:revision>
  <cp:lastPrinted>2017-10-16T09:41:00Z</cp:lastPrinted>
  <dcterms:created xsi:type="dcterms:W3CDTF">2017-11-27T14:13:00Z</dcterms:created>
  <dcterms:modified xsi:type="dcterms:W3CDTF">2017-11-27T14:13:00Z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0x0101002B32018E1A36604F9B1A995A27E51094</vt:lpwstr>
  </property>
  <property fmtid="{D5CDD505-2E9C-101B-9397-08002B2CF9AE}" pid="3" name="TagNormativaAziendale">
    <vt:lpwstr/>
  </property>
</Properties>
</file>